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76558" w14:textId="1D326775" w:rsidR="00171697" w:rsidRPr="00EE6D3A" w:rsidRDefault="006D1287" w:rsidP="006C3F28">
      <w:pPr>
        <w:spacing w:line="240" w:lineRule="auto"/>
        <w:jc w:val="center"/>
        <w:rPr>
          <w:rFonts w:ascii="Times New Roman" w:hAnsi="Times New Roman" w:cs="Times New Roman"/>
          <w:b/>
        </w:rPr>
      </w:pPr>
      <w:r>
        <w:rPr>
          <w:rFonts w:ascii="Times New Roman" w:hAnsi="Times New Roman" w:cs="Times New Roman"/>
          <w:b/>
        </w:rPr>
        <w:t>Fall</w:t>
      </w:r>
      <w:r w:rsidR="00F415F6">
        <w:rPr>
          <w:rFonts w:ascii="Times New Roman" w:hAnsi="Times New Roman" w:cs="Times New Roman"/>
          <w:b/>
        </w:rPr>
        <w:t xml:space="preserve"> National</w:t>
      </w:r>
      <w:r w:rsidR="00935F52">
        <w:rPr>
          <w:rFonts w:ascii="Times New Roman" w:hAnsi="Times New Roman" w:cs="Times New Roman"/>
          <w:b/>
        </w:rPr>
        <w:t xml:space="preserve"> Meeting</w:t>
      </w:r>
      <w:r w:rsidR="00F1411B" w:rsidRPr="00EE6D3A">
        <w:rPr>
          <w:rFonts w:ascii="Times New Roman" w:hAnsi="Times New Roman" w:cs="Times New Roman"/>
          <w:b/>
        </w:rPr>
        <w:t xml:space="preserve"> - </w:t>
      </w:r>
      <w:r w:rsidR="00DF23FD" w:rsidRPr="00EE6D3A">
        <w:rPr>
          <w:rFonts w:ascii="Times New Roman" w:hAnsi="Times New Roman" w:cs="Times New Roman"/>
          <w:b/>
        </w:rPr>
        <w:t>Review of GAAP Exposures for Statutory Accounting:</w:t>
      </w:r>
    </w:p>
    <w:p w14:paraId="0567D796" w14:textId="77777777" w:rsidR="00DF23FD" w:rsidRPr="00D87037" w:rsidRDefault="00DF23FD" w:rsidP="00787394">
      <w:pPr>
        <w:spacing w:line="240" w:lineRule="auto"/>
        <w:jc w:val="both"/>
        <w:rPr>
          <w:rFonts w:ascii="Times New Roman" w:hAnsi="Times New Roman" w:cs="Times New Roman"/>
        </w:rPr>
      </w:pPr>
      <w:r w:rsidRPr="00D87037">
        <w:rPr>
          <w:rFonts w:ascii="Times New Roman" w:hAnsi="Times New Roman" w:cs="Times New Roman"/>
        </w:rPr>
        <w:t xml:space="preserve">Pursuant to a </w:t>
      </w:r>
      <w:r w:rsidR="00225920" w:rsidRPr="00D87037">
        <w:rPr>
          <w:rFonts w:ascii="Times New Roman" w:hAnsi="Times New Roman" w:cs="Times New Roman"/>
        </w:rPr>
        <w:t>201</w:t>
      </w:r>
      <w:r w:rsidR="008C0311" w:rsidRPr="00D87037">
        <w:rPr>
          <w:rFonts w:ascii="Times New Roman" w:hAnsi="Times New Roman" w:cs="Times New Roman"/>
        </w:rPr>
        <w:t>4</w:t>
      </w:r>
      <w:r w:rsidR="00225920" w:rsidRPr="00D87037">
        <w:rPr>
          <w:rFonts w:ascii="Times New Roman" w:hAnsi="Times New Roman" w:cs="Times New Roman"/>
        </w:rPr>
        <w:t xml:space="preserve"> direction from</w:t>
      </w:r>
      <w:r w:rsidRPr="00D87037">
        <w:rPr>
          <w:rFonts w:ascii="Times New Roman" w:hAnsi="Times New Roman" w:cs="Times New Roman"/>
        </w:rPr>
        <w:t xml:space="preserve"> the SAPWG chair, there is a desire for the Statutory Accounting Principles </w:t>
      </w:r>
      <w:r w:rsidR="00225920" w:rsidRPr="00D87037">
        <w:rPr>
          <w:rFonts w:ascii="Times New Roman" w:hAnsi="Times New Roman" w:cs="Times New Roman"/>
        </w:rPr>
        <w:t xml:space="preserve">(E) </w:t>
      </w:r>
      <w:r w:rsidRPr="00D87037">
        <w:rPr>
          <w:rFonts w:ascii="Times New Roman" w:hAnsi="Times New Roman" w:cs="Times New Roman"/>
        </w:rPr>
        <w:t xml:space="preserve">Working Group </w:t>
      </w:r>
      <w:r w:rsidR="00995C63" w:rsidRPr="00D87037">
        <w:rPr>
          <w:rFonts w:ascii="Times New Roman" w:hAnsi="Times New Roman" w:cs="Times New Roman"/>
        </w:rPr>
        <w:t xml:space="preserve">to </w:t>
      </w:r>
      <w:r w:rsidRPr="00D87037">
        <w:rPr>
          <w:rFonts w:ascii="Times New Roman" w:hAnsi="Times New Roman" w:cs="Times New Roman"/>
        </w:rPr>
        <w:t xml:space="preserve">be more proactive in considering FASB exposures that may be significant to statutory accounting and reporting. Historically, the SAPWG has commented on limited, key FASB exposures – mostly pertaining to insurance contracts and financial instruments. To ensure consideration of </w:t>
      </w:r>
      <w:r w:rsidR="00995C63" w:rsidRPr="00D87037">
        <w:rPr>
          <w:rFonts w:ascii="Times New Roman" w:hAnsi="Times New Roman" w:cs="Times New Roman"/>
        </w:rPr>
        <w:t xml:space="preserve">all </w:t>
      </w:r>
      <w:r w:rsidR="00955136" w:rsidRPr="00D87037">
        <w:rPr>
          <w:rFonts w:ascii="Times New Roman" w:hAnsi="Times New Roman" w:cs="Times New Roman"/>
        </w:rPr>
        <w:t xml:space="preserve">FASB </w:t>
      </w:r>
      <w:r w:rsidRPr="00D87037">
        <w:rPr>
          <w:rFonts w:ascii="Times New Roman" w:hAnsi="Times New Roman" w:cs="Times New Roman"/>
        </w:rPr>
        <w:t>exposures, staff has prepared this memorandum to highlight the current exposures, comment deadlines, and to provide a high-level summary of the exposed item’s potential impact to statutory accounting. It is anticipated that this information would assist the Working Group in determining whether a comment letter should be submitted to the FASB</w:t>
      </w:r>
      <w:r w:rsidR="00995C63" w:rsidRPr="00D87037">
        <w:rPr>
          <w:rFonts w:ascii="Times New Roman" w:hAnsi="Times New Roman" w:cs="Times New Roman"/>
        </w:rPr>
        <w:t xml:space="preserve"> on the issues</w:t>
      </w:r>
      <w:r w:rsidR="00EC3923" w:rsidRPr="00D87037">
        <w:rPr>
          <w:rFonts w:ascii="Times New Roman" w:hAnsi="Times New Roman" w:cs="Times New Roman"/>
        </w:rPr>
        <w:t xml:space="preserve">. Regardless of the Working Group’s election to submit comments to the FASB on proposed accounting standards, under the NAIC Policy Statement on Statutory Accounting Principles Maintenance Agenda Process, </w:t>
      </w:r>
      <w:r w:rsidR="004451BD" w:rsidRPr="00D87037">
        <w:rPr>
          <w:rFonts w:ascii="Times New Roman" w:hAnsi="Times New Roman" w:cs="Times New Roman"/>
        </w:rPr>
        <w:t xml:space="preserve">issued </w:t>
      </w:r>
      <w:r w:rsidR="00EC3923" w:rsidRPr="00D87037">
        <w:rPr>
          <w:rFonts w:ascii="Times New Roman" w:hAnsi="Times New Roman" w:cs="Times New Roman"/>
        </w:rPr>
        <w:t xml:space="preserve">US GAAP guidance noted in the </w:t>
      </w:r>
      <w:r w:rsidR="004451BD" w:rsidRPr="00D87037">
        <w:rPr>
          <w:rFonts w:ascii="Times New Roman" w:hAnsi="Times New Roman" w:cs="Times New Roman"/>
        </w:rPr>
        <w:t>h</w:t>
      </w:r>
      <w:r w:rsidR="00EC3923" w:rsidRPr="00D87037">
        <w:rPr>
          <w:rFonts w:ascii="Times New Roman" w:hAnsi="Times New Roman" w:cs="Times New Roman"/>
        </w:rPr>
        <w:t xml:space="preserve">ierarchy </w:t>
      </w:r>
      <w:r w:rsidR="004451BD" w:rsidRPr="00D87037">
        <w:rPr>
          <w:rFonts w:ascii="Times New Roman" w:hAnsi="Times New Roman" w:cs="Times New Roman"/>
        </w:rPr>
        <w:t xml:space="preserve">within </w:t>
      </w:r>
      <w:r w:rsidR="00EC3923" w:rsidRPr="00D87037">
        <w:rPr>
          <w:rFonts w:ascii="Times New Roman" w:hAnsi="Times New Roman" w:cs="Times New Roman"/>
        </w:rPr>
        <w:t xml:space="preserve">Section V of the Preamble to the </w:t>
      </w:r>
      <w:r w:rsidR="00EC3923" w:rsidRPr="00D87037">
        <w:rPr>
          <w:rFonts w:ascii="Times New Roman" w:hAnsi="Times New Roman" w:cs="Times New Roman"/>
          <w:i/>
        </w:rPr>
        <w:t>Accounting P</w:t>
      </w:r>
      <w:r w:rsidR="004451BD" w:rsidRPr="00D87037">
        <w:rPr>
          <w:rFonts w:ascii="Times New Roman" w:hAnsi="Times New Roman" w:cs="Times New Roman"/>
          <w:i/>
        </w:rPr>
        <w:t>ractices and Procedures Manual</w:t>
      </w:r>
      <w:r w:rsidR="004451BD" w:rsidRPr="00D87037">
        <w:rPr>
          <w:rFonts w:ascii="Times New Roman" w:hAnsi="Times New Roman" w:cs="Times New Roman"/>
        </w:rPr>
        <w:t xml:space="preserve"> must be considered by the Statutory Accounting Principles (E) Working Group. </w:t>
      </w:r>
    </w:p>
    <w:p w14:paraId="7BC63735" w14:textId="64084315" w:rsidR="00C153A0" w:rsidRDefault="00DF23FD" w:rsidP="00787394">
      <w:pPr>
        <w:spacing w:line="240" w:lineRule="auto"/>
        <w:jc w:val="both"/>
        <w:rPr>
          <w:rStyle w:val="Hyperlink"/>
          <w:rFonts w:ascii="Times New Roman" w:hAnsi="Times New Roman" w:cs="Times New Roman"/>
        </w:rPr>
      </w:pPr>
      <w:r w:rsidRPr="00AE2CAB">
        <w:rPr>
          <w:rFonts w:ascii="Times New Roman" w:hAnsi="Times New Roman" w:cs="Times New Roman"/>
        </w:rPr>
        <w:t xml:space="preserve">FASB Exposures: </w:t>
      </w:r>
      <w:hyperlink r:id="rId11" w:history="1">
        <w:r w:rsidR="00FA6DED" w:rsidRPr="00FA6DED">
          <w:rPr>
            <w:rStyle w:val="Hyperlink"/>
          </w:rPr>
          <w:t>Exposure Documents and Public Comment Documents (fasb.org)</w:t>
        </w:r>
      </w:hyperlink>
    </w:p>
    <w:tbl>
      <w:tblPr>
        <w:tblStyle w:val="TableGrid"/>
        <w:tblW w:w="0" w:type="auto"/>
        <w:tblLook w:val="04A0" w:firstRow="1" w:lastRow="0" w:firstColumn="1" w:lastColumn="0" w:noHBand="0" w:noVBand="1"/>
      </w:tblPr>
      <w:tblGrid>
        <w:gridCol w:w="5037"/>
        <w:gridCol w:w="5033"/>
      </w:tblGrid>
      <w:tr w:rsidR="00064022" w:rsidRPr="00EF337F" w14:paraId="74B2FC84" w14:textId="77777777" w:rsidTr="00F63B27">
        <w:tc>
          <w:tcPr>
            <w:tcW w:w="5037" w:type="dxa"/>
            <w:shd w:val="clear" w:color="auto" w:fill="C6D9F1" w:themeFill="text2" w:themeFillTint="33"/>
            <w:vAlign w:val="center"/>
          </w:tcPr>
          <w:p w14:paraId="35093D33" w14:textId="77777777" w:rsidR="00064022" w:rsidRPr="00EF337F" w:rsidRDefault="00064022" w:rsidP="001B3B7D">
            <w:pPr>
              <w:jc w:val="center"/>
              <w:rPr>
                <w:rFonts w:ascii="Times New Roman" w:eastAsia="Times New Roman" w:hAnsi="Times New Roman" w:cs="Times New Roman"/>
                <w:b/>
                <w:color w:val="FF0000"/>
              </w:rPr>
            </w:pPr>
            <w:r w:rsidRPr="00064022">
              <w:rPr>
                <w:rFonts w:ascii="Times New Roman" w:eastAsia="Times New Roman" w:hAnsi="Times New Roman" w:cs="Times New Roman"/>
                <w:b/>
              </w:rPr>
              <w:t>Exposed FASB Guidance</w:t>
            </w:r>
          </w:p>
        </w:tc>
        <w:tc>
          <w:tcPr>
            <w:tcW w:w="5033" w:type="dxa"/>
            <w:shd w:val="clear" w:color="auto" w:fill="C6D9F1" w:themeFill="text2" w:themeFillTint="33"/>
            <w:vAlign w:val="center"/>
          </w:tcPr>
          <w:p w14:paraId="3E7DA1BF" w14:textId="77777777" w:rsidR="00064022" w:rsidRPr="00064022" w:rsidRDefault="00064022" w:rsidP="001B3B7D">
            <w:pPr>
              <w:jc w:val="center"/>
              <w:rPr>
                <w:rFonts w:ascii="Times New Roman" w:hAnsi="Times New Roman" w:cs="Times New Roman"/>
                <w:b/>
              </w:rPr>
            </w:pPr>
            <w:r w:rsidRPr="00064022">
              <w:rPr>
                <w:rFonts w:ascii="Times New Roman" w:hAnsi="Times New Roman" w:cs="Times New Roman"/>
                <w:b/>
              </w:rPr>
              <w:t>Comment Deadline &amp; Initial Staff Comments</w:t>
            </w:r>
          </w:p>
        </w:tc>
      </w:tr>
      <w:tr w:rsidR="0044690C" w:rsidRPr="00EF337F" w14:paraId="61791DDA" w14:textId="77777777" w:rsidTr="00F63B27">
        <w:trPr>
          <w:trHeight w:val="728"/>
        </w:trPr>
        <w:tc>
          <w:tcPr>
            <w:tcW w:w="5037" w:type="dxa"/>
            <w:shd w:val="clear" w:color="auto" w:fill="auto"/>
            <w:vAlign w:val="center"/>
          </w:tcPr>
          <w:p w14:paraId="5AA75F6B" w14:textId="5573E2F7" w:rsidR="0044690C" w:rsidRPr="005642C7" w:rsidRDefault="00A43D83" w:rsidP="001B3B7D">
            <w:pPr>
              <w:rPr>
                <w:rStyle w:val="Emphasis"/>
                <w:rFonts w:ascii="Times New Roman" w:hAnsi="Times New Roman" w:cs="Times New Roman"/>
                <w:i w:val="0"/>
              </w:rPr>
            </w:pPr>
            <w:r w:rsidRPr="005642C7">
              <w:rPr>
                <w:rFonts w:ascii="Times New Roman" w:hAnsi="Times New Roman" w:cs="Times New Roman"/>
                <w:color w:val="212529"/>
                <w:shd w:val="clear" w:color="auto" w:fill="FFFFFF"/>
              </w:rPr>
              <w:t>Proposed Accounting Standards Update—</w:t>
            </w:r>
            <w:r w:rsidRPr="005642C7">
              <w:rPr>
                <w:rStyle w:val="Emphasis"/>
                <w:rFonts w:ascii="Times New Roman" w:hAnsi="Times New Roman" w:cs="Times New Roman"/>
                <w:color w:val="212529"/>
                <w:shd w:val="clear" w:color="auto" w:fill="FFFFFF"/>
              </w:rPr>
              <w:t>Segment Reporting (Topic 280)—Improvements to Reportable Segment Disclosures</w:t>
            </w:r>
          </w:p>
        </w:tc>
        <w:tc>
          <w:tcPr>
            <w:tcW w:w="5033" w:type="dxa"/>
            <w:shd w:val="clear" w:color="auto" w:fill="auto"/>
            <w:vAlign w:val="center"/>
          </w:tcPr>
          <w:p w14:paraId="62047E96" w14:textId="0186DA35" w:rsidR="0044690C" w:rsidRPr="005642C7" w:rsidRDefault="005642C7" w:rsidP="00BD3D30">
            <w:pPr>
              <w:jc w:val="center"/>
              <w:rPr>
                <w:rFonts w:ascii="Times New Roman" w:hAnsi="Times New Roman" w:cs="Times New Roman"/>
              </w:rPr>
            </w:pPr>
            <w:r w:rsidRPr="005642C7">
              <w:rPr>
                <w:rFonts w:ascii="Times New Roman" w:hAnsi="Times New Roman" w:cs="Times New Roman"/>
              </w:rPr>
              <w:t>December 20, 2022</w:t>
            </w:r>
          </w:p>
        </w:tc>
      </w:tr>
      <w:tr w:rsidR="008E323D" w:rsidRPr="00EF337F" w14:paraId="649D914E" w14:textId="77777777" w:rsidTr="00F63B27">
        <w:trPr>
          <w:trHeight w:val="728"/>
        </w:trPr>
        <w:tc>
          <w:tcPr>
            <w:tcW w:w="5037" w:type="dxa"/>
            <w:shd w:val="clear" w:color="auto" w:fill="auto"/>
            <w:vAlign w:val="center"/>
          </w:tcPr>
          <w:p w14:paraId="3E8AB917" w14:textId="3F3C36C8" w:rsidR="008E323D" w:rsidRPr="005642C7" w:rsidRDefault="00CF5FBD" w:rsidP="001B3B7D">
            <w:pPr>
              <w:rPr>
                <w:rFonts w:ascii="Times New Roman" w:hAnsi="Times New Roman" w:cs="Times New Roman"/>
                <w:iCs/>
              </w:rPr>
            </w:pPr>
            <w:r w:rsidRPr="005642C7">
              <w:rPr>
                <w:rFonts w:ascii="Times New Roman" w:hAnsi="Times New Roman" w:cs="Times New Roman"/>
                <w:color w:val="212529"/>
                <w:shd w:val="clear" w:color="auto" w:fill="FFFFFF"/>
              </w:rPr>
              <w:t>Proposed Accounting Standards Update—</w:t>
            </w:r>
            <w:r w:rsidRPr="005642C7">
              <w:rPr>
                <w:rStyle w:val="Emphasis"/>
                <w:rFonts w:ascii="Times New Roman" w:hAnsi="Times New Roman" w:cs="Times New Roman"/>
                <w:color w:val="212529"/>
                <w:shd w:val="clear" w:color="auto" w:fill="FFFFFF"/>
              </w:rPr>
              <w:t>Business Combinations—Joint Venture Formations (Subtopic 805-60): Recognition and Initial Measurement</w:t>
            </w:r>
          </w:p>
        </w:tc>
        <w:tc>
          <w:tcPr>
            <w:tcW w:w="5033" w:type="dxa"/>
            <w:shd w:val="clear" w:color="auto" w:fill="auto"/>
            <w:vAlign w:val="center"/>
          </w:tcPr>
          <w:p w14:paraId="6AEB6C10" w14:textId="4434AA29" w:rsidR="008E323D" w:rsidRPr="005642C7" w:rsidRDefault="00CF5FBD" w:rsidP="00BD3D30">
            <w:pPr>
              <w:jc w:val="center"/>
              <w:rPr>
                <w:rFonts w:ascii="Times New Roman" w:hAnsi="Times New Roman" w:cs="Times New Roman"/>
              </w:rPr>
            </w:pPr>
            <w:r w:rsidRPr="005642C7">
              <w:rPr>
                <w:rFonts w:ascii="Times New Roman" w:hAnsi="Times New Roman" w:cs="Times New Roman"/>
              </w:rPr>
              <w:t>December 27, 2022</w:t>
            </w:r>
          </w:p>
        </w:tc>
      </w:tr>
      <w:tr w:rsidR="005642C7" w:rsidRPr="00EF337F" w14:paraId="62D657AA" w14:textId="77777777" w:rsidTr="00F63B27">
        <w:trPr>
          <w:trHeight w:val="728"/>
        </w:trPr>
        <w:tc>
          <w:tcPr>
            <w:tcW w:w="5037" w:type="dxa"/>
            <w:shd w:val="clear" w:color="auto" w:fill="auto"/>
            <w:vAlign w:val="center"/>
          </w:tcPr>
          <w:p w14:paraId="6ECF0279" w14:textId="6F97BEF5" w:rsidR="005642C7" w:rsidRPr="005642C7" w:rsidRDefault="005642C7" w:rsidP="005642C7">
            <w:pPr>
              <w:rPr>
                <w:rFonts w:ascii="Times New Roman" w:hAnsi="Times New Roman" w:cs="Times New Roman"/>
                <w:color w:val="212529"/>
                <w:shd w:val="clear" w:color="auto" w:fill="FFFFFF"/>
              </w:rPr>
            </w:pPr>
            <w:r w:rsidRPr="005642C7">
              <w:rPr>
                <w:rFonts w:ascii="Times New Roman" w:hAnsi="Times New Roman" w:cs="Times New Roman"/>
                <w:color w:val="212529"/>
                <w:shd w:val="clear" w:color="auto" w:fill="FFFFFF"/>
              </w:rPr>
              <w:t>Proposed Statement of Financial Accounting Concepts No. 8—</w:t>
            </w:r>
            <w:r w:rsidRPr="005642C7">
              <w:rPr>
                <w:rStyle w:val="Emphasis"/>
                <w:rFonts w:ascii="Times New Roman" w:hAnsi="Times New Roman" w:cs="Times New Roman"/>
                <w:color w:val="212529"/>
                <w:shd w:val="clear" w:color="auto" w:fill="FFFFFF"/>
              </w:rPr>
              <w:t>Conceptual Framework for Financial Reporting—Chapter 2:</w:t>
            </w:r>
            <w:r w:rsidRPr="005642C7">
              <w:rPr>
                <w:rFonts w:ascii="Times New Roman" w:hAnsi="Times New Roman" w:cs="Times New Roman"/>
                <w:color w:val="212529"/>
                <w:shd w:val="clear" w:color="auto" w:fill="FFFFFF"/>
              </w:rPr>
              <w:t> The Reporting Entity</w:t>
            </w:r>
          </w:p>
        </w:tc>
        <w:tc>
          <w:tcPr>
            <w:tcW w:w="5033" w:type="dxa"/>
            <w:shd w:val="clear" w:color="auto" w:fill="auto"/>
            <w:vAlign w:val="center"/>
          </w:tcPr>
          <w:p w14:paraId="169EBD71" w14:textId="2B85C107" w:rsidR="005642C7" w:rsidRPr="005642C7" w:rsidRDefault="005642C7" w:rsidP="005642C7">
            <w:pPr>
              <w:jc w:val="center"/>
              <w:rPr>
                <w:rFonts w:ascii="Times New Roman" w:hAnsi="Times New Roman" w:cs="Times New Roman"/>
              </w:rPr>
            </w:pPr>
            <w:r w:rsidRPr="005642C7">
              <w:rPr>
                <w:rFonts w:ascii="Times New Roman" w:hAnsi="Times New Roman" w:cs="Times New Roman"/>
              </w:rPr>
              <w:t>January 16, 2023</w:t>
            </w:r>
          </w:p>
        </w:tc>
      </w:tr>
      <w:tr w:rsidR="005642C7" w:rsidRPr="00EF337F" w14:paraId="4DA6A876" w14:textId="77777777" w:rsidTr="00F63B27">
        <w:trPr>
          <w:trHeight w:val="728"/>
        </w:trPr>
        <w:tc>
          <w:tcPr>
            <w:tcW w:w="5037" w:type="dxa"/>
            <w:shd w:val="clear" w:color="auto" w:fill="auto"/>
            <w:vAlign w:val="center"/>
          </w:tcPr>
          <w:p w14:paraId="0BDC41F8" w14:textId="3B855CF2" w:rsidR="005642C7" w:rsidRPr="005642C7" w:rsidRDefault="005642C7" w:rsidP="005642C7">
            <w:pPr>
              <w:rPr>
                <w:rFonts w:ascii="Times New Roman" w:hAnsi="Times New Roman" w:cs="Times New Roman"/>
                <w:iCs/>
              </w:rPr>
            </w:pPr>
            <w:bookmarkStart w:id="0" w:name="_Hlk120521354"/>
            <w:r w:rsidRPr="005642C7">
              <w:rPr>
                <w:rFonts w:ascii="Times New Roman" w:hAnsi="Times New Roman" w:cs="Times New Roman"/>
                <w:color w:val="212529"/>
                <w:shd w:val="clear" w:color="auto" w:fill="FFFFFF"/>
              </w:rPr>
              <w:t>Proposed Statement of Financial Accounting Concepts No. 8—</w:t>
            </w:r>
            <w:r w:rsidRPr="005642C7">
              <w:rPr>
                <w:rStyle w:val="Emphasis"/>
                <w:rFonts w:ascii="Times New Roman" w:hAnsi="Times New Roman" w:cs="Times New Roman"/>
                <w:color w:val="212529"/>
                <w:shd w:val="clear" w:color="auto" w:fill="FFFFFF"/>
              </w:rPr>
              <w:t>Conceptual Framework for Financial Reporting—Chapter 5:</w:t>
            </w:r>
            <w:r w:rsidRPr="005642C7">
              <w:rPr>
                <w:rFonts w:ascii="Times New Roman" w:hAnsi="Times New Roman" w:cs="Times New Roman"/>
                <w:color w:val="212529"/>
                <w:shd w:val="clear" w:color="auto" w:fill="FFFFFF"/>
              </w:rPr>
              <w:t> Recognition and Derecognition</w:t>
            </w:r>
            <w:bookmarkEnd w:id="0"/>
          </w:p>
        </w:tc>
        <w:tc>
          <w:tcPr>
            <w:tcW w:w="5033" w:type="dxa"/>
            <w:shd w:val="clear" w:color="auto" w:fill="auto"/>
            <w:vAlign w:val="center"/>
          </w:tcPr>
          <w:p w14:paraId="1BDB7866" w14:textId="21841571" w:rsidR="005642C7" w:rsidRPr="005642C7" w:rsidRDefault="005642C7" w:rsidP="005642C7">
            <w:pPr>
              <w:jc w:val="center"/>
              <w:rPr>
                <w:rFonts w:ascii="Times New Roman" w:hAnsi="Times New Roman" w:cs="Times New Roman"/>
              </w:rPr>
            </w:pPr>
            <w:r w:rsidRPr="005642C7">
              <w:rPr>
                <w:rFonts w:ascii="Times New Roman" w:hAnsi="Times New Roman" w:cs="Times New Roman"/>
              </w:rPr>
              <w:t>February 21, 2023</w:t>
            </w:r>
          </w:p>
        </w:tc>
      </w:tr>
    </w:tbl>
    <w:p w14:paraId="0B5C0020" w14:textId="1FA96D26" w:rsidR="00F24DE1" w:rsidRDefault="00F24DE1" w:rsidP="00787394">
      <w:pPr>
        <w:spacing w:line="240" w:lineRule="auto"/>
        <w:jc w:val="both"/>
        <w:rPr>
          <w:rStyle w:val="Hyperlink"/>
          <w:rFonts w:ascii="Times New Roman" w:hAnsi="Times New Roman" w:cs="Times New Roman"/>
        </w:rPr>
      </w:pPr>
    </w:p>
    <w:p w14:paraId="1797C4E3" w14:textId="593D0777" w:rsidR="00C23440" w:rsidRDefault="004E495C" w:rsidP="00011D63">
      <w:pPr>
        <w:pStyle w:val="ListParagraph"/>
        <w:spacing w:after="0" w:line="240" w:lineRule="auto"/>
        <w:ind w:left="0"/>
        <w:jc w:val="both"/>
        <w:rPr>
          <w:rFonts w:ascii="Times New Roman" w:hAnsi="Times New Roman" w:cs="Times New Roman"/>
          <w:b/>
          <w:i/>
          <w:iCs/>
        </w:rPr>
      </w:pPr>
      <w:r w:rsidRPr="004E495C">
        <w:rPr>
          <w:rFonts w:ascii="Times New Roman" w:hAnsi="Times New Roman" w:cs="Times New Roman"/>
          <w:b/>
          <w:iCs/>
        </w:rPr>
        <w:t>Proposed Accounting Standards Update—</w:t>
      </w:r>
      <w:r w:rsidRPr="004E495C">
        <w:rPr>
          <w:rFonts w:ascii="Times New Roman" w:hAnsi="Times New Roman" w:cs="Times New Roman"/>
          <w:b/>
          <w:i/>
          <w:iCs/>
        </w:rPr>
        <w:t>Segment Reporting (Topic 280)—Improvements to Reportable Segment Disclosures</w:t>
      </w:r>
    </w:p>
    <w:p w14:paraId="4BEB6301" w14:textId="77777777" w:rsidR="004E495C" w:rsidRDefault="004E495C" w:rsidP="00011D63">
      <w:pPr>
        <w:pStyle w:val="ListParagraph"/>
        <w:spacing w:after="0" w:line="240" w:lineRule="auto"/>
        <w:ind w:left="0"/>
        <w:jc w:val="both"/>
        <w:rPr>
          <w:rFonts w:ascii="Times New Roman" w:eastAsia="Times New Roman" w:hAnsi="Times New Roman" w:cs="Times New Roman"/>
          <w:b/>
          <w:i/>
          <w:iCs/>
          <w:u w:val="single"/>
        </w:rPr>
      </w:pPr>
    </w:p>
    <w:p w14:paraId="096767A8" w14:textId="7AB8857D" w:rsidR="00011D63" w:rsidRPr="00584FC9" w:rsidRDefault="00011D63" w:rsidP="00011D63">
      <w:pPr>
        <w:pStyle w:val="ListParagraph"/>
        <w:spacing w:after="0" w:line="240" w:lineRule="auto"/>
        <w:ind w:left="0"/>
        <w:jc w:val="both"/>
        <w:rPr>
          <w:rFonts w:ascii="Times New Roman" w:eastAsia="Times New Roman" w:hAnsi="Times New Roman" w:cs="Times New Roman"/>
          <w:b/>
          <w:i/>
          <w:iCs/>
          <w:color w:val="000000" w:themeColor="text1"/>
          <w:u w:val="single"/>
        </w:rPr>
      </w:pPr>
      <w:r w:rsidRPr="00584FC9">
        <w:rPr>
          <w:rFonts w:ascii="Times New Roman" w:eastAsia="Times New Roman" w:hAnsi="Times New Roman" w:cs="Times New Roman"/>
          <w:b/>
          <w:i/>
          <w:iCs/>
          <w:color w:val="000000" w:themeColor="text1"/>
          <w:u w:val="single"/>
        </w:rPr>
        <w:t xml:space="preserve">Information from FASB Exposure Draft: </w:t>
      </w:r>
    </w:p>
    <w:p w14:paraId="0E972DD6" w14:textId="77777777" w:rsidR="00CF4CF8" w:rsidRDefault="002762C3" w:rsidP="001F7DBB">
      <w:pPr>
        <w:spacing w:after="0" w:line="240" w:lineRule="auto"/>
        <w:jc w:val="both"/>
        <w:rPr>
          <w:rFonts w:ascii="Times New Roman" w:hAnsi="Times New Roman" w:cs="Times New Roman"/>
          <w:color w:val="000000" w:themeColor="text1"/>
        </w:rPr>
      </w:pPr>
      <w:r w:rsidRPr="002762C3">
        <w:rPr>
          <w:rFonts w:ascii="Times New Roman" w:hAnsi="Times New Roman" w:cs="Times New Roman"/>
          <w:color w:val="000000" w:themeColor="text1"/>
        </w:rPr>
        <w:t xml:space="preserve">Investors, lenders, creditors, and other allocators of capital (collectively “investors”) have observed that segment information is critically important in understanding a public entity’s different business activities. That information enables investors to better understand an entity’s overall performance and assists in assessing potential future cash flows. </w:t>
      </w:r>
    </w:p>
    <w:p w14:paraId="4719F2A2" w14:textId="77777777" w:rsidR="00CF4CF8" w:rsidRDefault="00CF4CF8" w:rsidP="001F7DBB">
      <w:pPr>
        <w:spacing w:after="0" w:line="240" w:lineRule="auto"/>
        <w:jc w:val="both"/>
        <w:rPr>
          <w:rFonts w:ascii="Times New Roman" w:hAnsi="Times New Roman" w:cs="Times New Roman"/>
          <w:color w:val="000000" w:themeColor="text1"/>
        </w:rPr>
      </w:pPr>
    </w:p>
    <w:p w14:paraId="0133D395" w14:textId="77777777" w:rsidR="00CF4CF8" w:rsidRDefault="002762C3" w:rsidP="001F7DBB">
      <w:pPr>
        <w:spacing w:after="0" w:line="240" w:lineRule="auto"/>
        <w:jc w:val="both"/>
        <w:rPr>
          <w:rFonts w:ascii="Times New Roman" w:hAnsi="Times New Roman" w:cs="Times New Roman"/>
          <w:color w:val="000000" w:themeColor="text1"/>
        </w:rPr>
      </w:pPr>
      <w:r w:rsidRPr="002762C3">
        <w:rPr>
          <w:rFonts w:ascii="Times New Roman" w:hAnsi="Times New Roman" w:cs="Times New Roman"/>
          <w:color w:val="000000" w:themeColor="text1"/>
        </w:rPr>
        <w:t xml:space="preserve">Feedback on the Post-Implementation Review (PIR) Report on FASB Statement No. 131, Disclosures about Segments of an Enterprise and Related Information, which was issued in 2012, indicated overall support from stakeholders for the management approach to segment reporting. That report stated that investors are generally satisfied with the segment note disclosures. A minority of investor survey respondents, approximately one-third, indicated that they are somewhat dissatisfied. Those investors were interested in exploring ways to require additional disclosures about segment information by public entities. Practitioner and academic survey respondents were interested in exploring additional guidance for determining and aggregating segments. </w:t>
      </w:r>
    </w:p>
    <w:p w14:paraId="4CDAB0E9" w14:textId="77777777" w:rsidR="00CF4CF8" w:rsidRDefault="00CF4CF8" w:rsidP="001F7DBB">
      <w:pPr>
        <w:spacing w:after="0" w:line="240" w:lineRule="auto"/>
        <w:jc w:val="both"/>
        <w:rPr>
          <w:rFonts w:ascii="Times New Roman" w:hAnsi="Times New Roman" w:cs="Times New Roman"/>
          <w:color w:val="000000" w:themeColor="text1"/>
        </w:rPr>
      </w:pPr>
    </w:p>
    <w:p w14:paraId="2ED3E39B" w14:textId="77777777" w:rsidR="00CF4CF8" w:rsidRDefault="002762C3" w:rsidP="001F7DBB">
      <w:pPr>
        <w:spacing w:after="0" w:line="240" w:lineRule="auto"/>
        <w:jc w:val="both"/>
        <w:rPr>
          <w:rFonts w:ascii="Times New Roman" w:hAnsi="Times New Roman" w:cs="Times New Roman"/>
          <w:color w:val="000000" w:themeColor="text1"/>
        </w:rPr>
      </w:pPr>
      <w:r w:rsidRPr="002762C3">
        <w:rPr>
          <w:rFonts w:ascii="Times New Roman" w:hAnsi="Times New Roman" w:cs="Times New Roman"/>
          <w:color w:val="000000" w:themeColor="text1"/>
        </w:rPr>
        <w:t xml:space="preserve">The Board is issuing this proposed Update to improve the disclosures about a public entity’s reportable segments and address requests from investors for additional, more detailed information about a reportable segment’s expenses. Investors have observed that although information about a segment’s revenue and measure of profit or </w:t>
      </w:r>
      <w:r w:rsidRPr="002762C3">
        <w:rPr>
          <w:rFonts w:ascii="Times New Roman" w:hAnsi="Times New Roman" w:cs="Times New Roman"/>
          <w:color w:val="000000" w:themeColor="text1"/>
        </w:rPr>
        <w:lastRenderedPageBreak/>
        <w:t xml:space="preserve">loss is disclosed in an entity’s financial statements, there generally is limited information disclosed about a segment’s expenses. </w:t>
      </w:r>
    </w:p>
    <w:p w14:paraId="6292BD0B" w14:textId="77777777" w:rsidR="00CF4CF8" w:rsidRDefault="00CF4CF8" w:rsidP="001F7DBB">
      <w:pPr>
        <w:spacing w:after="0" w:line="240" w:lineRule="auto"/>
        <w:jc w:val="both"/>
        <w:rPr>
          <w:rFonts w:ascii="Times New Roman" w:hAnsi="Times New Roman" w:cs="Times New Roman"/>
          <w:color w:val="000000" w:themeColor="text1"/>
        </w:rPr>
      </w:pPr>
    </w:p>
    <w:p w14:paraId="79B269F6" w14:textId="04B6211F" w:rsidR="006071D8" w:rsidRDefault="002762C3" w:rsidP="001F7DBB">
      <w:pPr>
        <w:spacing w:after="0" w:line="240" w:lineRule="auto"/>
        <w:jc w:val="both"/>
        <w:rPr>
          <w:rFonts w:ascii="Times New Roman" w:hAnsi="Times New Roman" w:cs="Times New Roman"/>
          <w:color w:val="000000" w:themeColor="text1"/>
        </w:rPr>
      </w:pPr>
      <w:r w:rsidRPr="002762C3">
        <w:rPr>
          <w:rFonts w:ascii="Times New Roman" w:hAnsi="Times New Roman" w:cs="Times New Roman"/>
          <w:color w:val="000000" w:themeColor="text1"/>
        </w:rPr>
        <w:t>The amendments in this proposed Update respond to requests from investors for additional information about a public entity’s reportable segments to understand the expense categories and amounts that are included within segment profit or loss</w:t>
      </w:r>
      <w:r w:rsidR="00CF4CF8">
        <w:rPr>
          <w:rFonts w:ascii="Times New Roman" w:hAnsi="Times New Roman" w:cs="Times New Roman"/>
          <w:color w:val="000000" w:themeColor="text1"/>
        </w:rPr>
        <w:t>.</w:t>
      </w:r>
    </w:p>
    <w:p w14:paraId="4B61AB27" w14:textId="77777777" w:rsidR="00CF4CF8" w:rsidRDefault="00CF4CF8" w:rsidP="001F7DBB">
      <w:pPr>
        <w:spacing w:after="0" w:line="240" w:lineRule="auto"/>
        <w:jc w:val="both"/>
        <w:rPr>
          <w:rFonts w:ascii="Times New Roman" w:hAnsi="Times New Roman" w:cs="Times New Roman"/>
          <w:b/>
          <w:color w:val="000000" w:themeColor="text1"/>
          <w:u w:val="single"/>
        </w:rPr>
      </w:pPr>
    </w:p>
    <w:p w14:paraId="741AA568" w14:textId="7A6116BE" w:rsidR="001F7DBB" w:rsidRDefault="001F7DBB" w:rsidP="001F7DBB">
      <w:pPr>
        <w:spacing w:after="0" w:line="240" w:lineRule="auto"/>
        <w:jc w:val="both"/>
        <w:rPr>
          <w:rFonts w:ascii="Times New Roman" w:hAnsi="Times New Roman" w:cs="Times New Roman"/>
          <w:b/>
          <w:color w:val="000000" w:themeColor="text1"/>
          <w:u w:val="single"/>
        </w:rPr>
      </w:pPr>
      <w:r w:rsidRPr="00584FC9">
        <w:rPr>
          <w:rFonts w:ascii="Times New Roman" w:hAnsi="Times New Roman" w:cs="Times New Roman"/>
          <w:b/>
          <w:color w:val="000000" w:themeColor="text1"/>
          <w:u w:val="single"/>
        </w:rPr>
        <w:t xml:space="preserve">Staff Review and Commentary: </w:t>
      </w:r>
    </w:p>
    <w:p w14:paraId="162C772C" w14:textId="77777777" w:rsidR="00CF4CF8" w:rsidRPr="00584FC9" w:rsidRDefault="00CF4CF8" w:rsidP="001F7DBB">
      <w:pPr>
        <w:spacing w:after="0" w:line="240" w:lineRule="auto"/>
        <w:jc w:val="both"/>
        <w:rPr>
          <w:rFonts w:ascii="Times New Roman" w:hAnsi="Times New Roman" w:cs="Times New Roman"/>
          <w:b/>
          <w:color w:val="000000" w:themeColor="text1"/>
          <w:u w:val="single"/>
        </w:rPr>
      </w:pPr>
    </w:p>
    <w:p w14:paraId="3E2CA32A" w14:textId="366CBDB2" w:rsidR="008163AD" w:rsidRDefault="001F7DBB" w:rsidP="0009671B">
      <w:pPr>
        <w:tabs>
          <w:tab w:val="center" w:pos="5040"/>
        </w:tabs>
        <w:spacing w:after="0" w:line="240" w:lineRule="auto"/>
        <w:jc w:val="both"/>
        <w:rPr>
          <w:rFonts w:ascii="Times New Roman" w:hAnsi="Times New Roman" w:cs="Times New Roman"/>
          <w:color w:val="000000" w:themeColor="text1"/>
        </w:rPr>
      </w:pPr>
      <w:r w:rsidRPr="00584FC9">
        <w:rPr>
          <w:rFonts w:ascii="Times New Roman" w:hAnsi="Times New Roman" w:cs="Times New Roman"/>
          <w:color w:val="000000" w:themeColor="text1"/>
        </w:rPr>
        <w:t xml:space="preserve">Comment deadline is </w:t>
      </w:r>
      <w:r w:rsidR="00CF4CF8">
        <w:rPr>
          <w:rFonts w:ascii="Times New Roman" w:hAnsi="Times New Roman" w:cs="Times New Roman"/>
          <w:color w:val="000000" w:themeColor="text1"/>
        </w:rPr>
        <w:t>December 20</w:t>
      </w:r>
      <w:r w:rsidR="00584FC9" w:rsidRPr="00584FC9">
        <w:rPr>
          <w:rFonts w:ascii="Times New Roman" w:hAnsi="Times New Roman" w:cs="Times New Roman"/>
          <w:color w:val="000000" w:themeColor="text1"/>
        </w:rPr>
        <w:t>, 2022</w:t>
      </w:r>
      <w:r w:rsidRPr="00584FC9">
        <w:rPr>
          <w:rFonts w:ascii="Times New Roman" w:hAnsi="Times New Roman" w:cs="Times New Roman"/>
          <w:color w:val="000000" w:themeColor="text1"/>
        </w:rPr>
        <w:t xml:space="preserve"> </w:t>
      </w:r>
      <w:bookmarkStart w:id="1" w:name="_Hlk65220429"/>
    </w:p>
    <w:p w14:paraId="70840C5E" w14:textId="77777777" w:rsidR="00584FC9" w:rsidRDefault="00584FC9" w:rsidP="0009671B">
      <w:pPr>
        <w:tabs>
          <w:tab w:val="center" w:pos="5040"/>
        </w:tabs>
        <w:spacing w:after="0" w:line="240" w:lineRule="auto"/>
        <w:jc w:val="both"/>
        <w:rPr>
          <w:rFonts w:ascii="Times New Roman" w:hAnsi="Times New Roman" w:cs="Times New Roman"/>
        </w:rPr>
      </w:pPr>
    </w:p>
    <w:p w14:paraId="29C89584" w14:textId="7157D231" w:rsidR="00584FC9" w:rsidRPr="00B14CAB" w:rsidRDefault="00B14CAB" w:rsidP="0009671B">
      <w:pPr>
        <w:tabs>
          <w:tab w:val="center" w:pos="5040"/>
        </w:tabs>
        <w:spacing w:after="0" w:line="240" w:lineRule="auto"/>
        <w:jc w:val="both"/>
        <w:rPr>
          <w:rFonts w:ascii="Times New Roman" w:hAnsi="Times New Roman" w:cs="Times New Roman"/>
          <w:b/>
          <w:bCs/>
          <w:i/>
        </w:rPr>
      </w:pPr>
      <w:r w:rsidRPr="00B14CAB">
        <w:rPr>
          <w:rFonts w:ascii="Times New Roman" w:hAnsi="Times New Roman" w:cs="Times New Roman"/>
          <w:b/>
          <w:bCs/>
          <w:iCs/>
        </w:rPr>
        <w:t>Proposed Accounting Standards Update—</w:t>
      </w:r>
      <w:r w:rsidRPr="00B14CAB">
        <w:rPr>
          <w:rFonts w:ascii="Times New Roman" w:hAnsi="Times New Roman" w:cs="Times New Roman"/>
          <w:b/>
          <w:bCs/>
          <w:i/>
        </w:rPr>
        <w:t>Business Combinations—Joint Venture Formations (Subtopic 805-60): Recognition and Initial Measurement</w:t>
      </w:r>
    </w:p>
    <w:p w14:paraId="7725E1A0" w14:textId="77777777" w:rsidR="00B14CAB" w:rsidRDefault="00B14CAB" w:rsidP="0009671B">
      <w:pPr>
        <w:tabs>
          <w:tab w:val="center" w:pos="5040"/>
        </w:tabs>
        <w:spacing w:after="0" w:line="240" w:lineRule="auto"/>
        <w:jc w:val="both"/>
        <w:rPr>
          <w:rFonts w:ascii="Times New Roman" w:hAnsi="Times New Roman" w:cs="Times New Roman"/>
        </w:rPr>
      </w:pPr>
    </w:p>
    <w:p w14:paraId="2A8460F5" w14:textId="77777777" w:rsidR="00584FC9" w:rsidRPr="00584FC9" w:rsidRDefault="00584FC9" w:rsidP="00584FC9">
      <w:pPr>
        <w:pStyle w:val="ListParagraph"/>
        <w:spacing w:after="0" w:line="240" w:lineRule="auto"/>
        <w:ind w:left="0"/>
        <w:jc w:val="both"/>
        <w:rPr>
          <w:rFonts w:ascii="Times New Roman" w:eastAsia="Times New Roman" w:hAnsi="Times New Roman" w:cs="Times New Roman"/>
          <w:b/>
          <w:i/>
          <w:iCs/>
          <w:color w:val="000000" w:themeColor="text1"/>
          <w:u w:val="single"/>
        </w:rPr>
      </w:pPr>
      <w:r w:rsidRPr="00584FC9">
        <w:rPr>
          <w:rFonts w:ascii="Times New Roman" w:eastAsia="Times New Roman" w:hAnsi="Times New Roman" w:cs="Times New Roman"/>
          <w:b/>
          <w:i/>
          <w:iCs/>
          <w:color w:val="000000" w:themeColor="text1"/>
          <w:u w:val="single"/>
        </w:rPr>
        <w:t xml:space="preserve">Information from FASB Exposure Draft: </w:t>
      </w:r>
    </w:p>
    <w:p w14:paraId="68AB8685" w14:textId="77777777" w:rsidR="00616C24" w:rsidRDefault="00616C24" w:rsidP="00584FC9">
      <w:pPr>
        <w:spacing w:after="0" w:line="240" w:lineRule="auto"/>
        <w:jc w:val="both"/>
        <w:rPr>
          <w:rFonts w:ascii="Times New Roman" w:hAnsi="Times New Roman" w:cs="Times New Roman"/>
          <w:color w:val="000000" w:themeColor="text1"/>
        </w:rPr>
      </w:pPr>
    </w:p>
    <w:p w14:paraId="083B8CB1" w14:textId="77777777" w:rsidR="00E566F1" w:rsidRDefault="00E566F1" w:rsidP="00584FC9">
      <w:pPr>
        <w:spacing w:after="0" w:line="240" w:lineRule="auto"/>
        <w:jc w:val="both"/>
        <w:rPr>
          <w:rFonts w:ascii="Times New Roman" w:hAnsi="Times New Roman" w:cs="Times New Roman"/>
          <w:color w:val="000000" w:themeColor="text1"/>
        </w:rPr>
      </w:pPr>
      <w:r w:rsidRPr="00E566F1">
        <w:rPr>
          <w:rFonts w:ascii="Times New Roman" w:hAnsi="Times New Roman" w:cs="Times New Roman"/>
          <w:color w:val="000000" w:themeColor="text1"/>
        </w:rPr>
        <w:t xml:space="preserve">The amendments in this proposed Update address the accounting for contributions made to a joint venture upon formation in a joint venture’s separate financial statements. The objectives of the proposed amendments are to (1) provide decision-useful information to investors and other allocators of capital (collectively, investors) in a joint venture’s financial statements and (2) reduce diversity in practice. </w:t>
      </w:r>
    </w:p>
    <w:p w14:paraId="29DB1D8A" w14:textId="77777777" w:rsidR="00E566F1" w:rsidRDefault="00E566F1" w:rsidP="00584FC9">
      <w:pPr>
        <w:spacing w:after="0" w:line="240" w:lineRule="auto"/>
        <w:jc w:val="both"/>
        <w:rPr>
          <w:rFonts w:ascii="Times New Roman" w:hAnsi="Times New Roman" w:cs="Times New Roman"/>
          <w:color w:val="000000" w:themeColor="text1"/>
        </w:rPr>
      </w:pPr>
    </w:p>
    <w:p w14:paraId="3468F452" w14:textId="77777777" w:rsidR="00AE0C7D" w:rsidRDefault="00E566F1" w:rsidP="00584FC9">
      <w:pPr>
        <w:spacing w:after="0" w:line="240" w:lineRule="auto"/>
        <w:jc w:val="both"/>
        <w:rPr>
          <w:rFonts w:ascii="Times New Roman" w:hAnsi="Times New Roman" w:cs="Times New Roman"/>
          <w:color w:val="000000" w:themeColor="text1"/>
        </w:rPr>
      </w:pPr>
      <w:r w:rsidRPr="00E566F1">
        <w:rPr>
          <w:rFonts w:ascii="Times New Roman" w:hAnsi="Times New Roman" w:cs="Times New Roman"/>
          <w:color w:val="000000" w:themeColor="text1"/>
        </w:rPr>
        <w:t xml:space="preserve">Generally accepted accounting principles (GAAP) do not provide specific authoritative guidance on how a joint venture, at its formation, should recognize and initially measure assets contributed and liabilities assumed (including the assets and liabilities of businesses contributed). Rather, GAAP explicitly provides that transactions between a corporate joint venture and its owners are outside the scope of Topic 845, Nonmonetary Transactions, and that the formation of a joint venture is outside the scope of Topic 805, Business Combinations. In the absence of specific guidance, practice has been influenced by various sources, including speeches given by the U.S. Securities and Exchange Commission (SEC) staff. As a result, there is diversity in practice in how a joint venture accounts for the contributions it receives upon formation—while some joint ventures initially measure their net assets at fair value at the formation date, other joint ventures account for their net assets at the venturers’ carrying amounts. </w:t>
      </w:r>
    </w:p>
    <w:p w14:paraId="59DC8180" w14:textId="77777777" w:rsidR="00AE0C7D" w:rsidRDefault="00AE0C7D" w:rsidP="00584FC9">
      <w:pPr>
        <w:spacing w:after="0" w:line="240" w:lineRule="auto"/>
        <w:jc w:val="both"/>
        <w:rPr>
          <w:rFonts w:ascii="Times New Roman" w:hAnsi="Times New Roman" w:cs="Times New Roman"/>
          <w:color w:val="000000" w:themeColor="text1"/>
        </w:rPr>
      </w:pPr>
    </w:p>
    <w:p w14:paraId="504AE0C4" w14:textId="77777777" w:rsidR="00AE0C7D" w:rsidRDefault="00E566F1" w:rsidP="00584FC9">
      <w:pPr>
        <w:spacing w:after="0" w:line="240" w:lineRule="auto"/>
        <w:jc w:val="both"/>
        <w:rPr>
          <w:rFonts w:ascii="Times New Roman" w:hAnsi="Times New Roman" w:cs="Times New Roman"/>
          <w:color w:val="000000" w:themeColor="text1"/>
        </w:rPr>
      </w:pPr>
      <w:r w:rsidRPr="00E566F1">
        <w:rPr>
          <w:rFonts w:ascii="Times New Roman" w:hAnsi="Times New Roman" w:cs="Times New Roman"/>
          <w:color w:val="000000" w:themeColor="text1"/>
        </w:rPr>
        <w:t xml:space="preserve">To reduce diversity in practice and provide decision-useful information to a joint venture’s investors, the Board decided to require that a joint venture apply a new basis of accounting upon formation. By applying a new basis of accounting, a joint venture, upon formation, would recognize and initially measure its assets and liabilities at fair value (with certain exceptions that are consistent with the business combinations guidance). </w:t>
      </w:r>
    </w:p>
    <w:p w14:paraId="327D7038" w14:textId="77777777" w:rsidR="00AE0C7D" w:rsidRDefault="00AE0C7D" w:rsidP="00584FC9">
      <w:pPr>
        <w:spacing w:after="0" w:line="240" w:lineRule="auto"/>
        <w:jc w:val="both"/>
        <w:rPr>
          <w:rFonts w:ascii="Times New Roman" w:hAnsi="Times New Roman" w:cs="Times New Roman"/>
          <w:color w:val="000000" w:themeColor="text1"/>
        </w:rPr>
      </w:pPr>
    </w:p>
    <w:p w14:paraId="5A573B7C" w14:textId="639DA986" w:rsidR="00B14CAB" w:rsidRDefault="00E566F1" w:rsidP="00584FC9">
      <w:pPr>
        <w:spacing w:after="0" w:line="240" w:lineRule="auto"/>
        <w:jc w:val="both"/>
        <w:rPr>
          <w:rFonts w:ascii="Times New Roman" w:hAnsi="Times New Roman" w:cs="Times New Roman"/>
          <w:color w:val="000000" w:themeColor="text1"/>
        </w:rPr>
      </w:pPr>
      <w:r w:rsidRPr="00E566F1">
        <w:rPr>
          <w:rFonts w:ascii="Times New Roman" w:hAnsi="Times New Roman" w:cs="Times New Roman"/>
          <w:color w:val="000000" w:themeColor="text1"/>
        </w:rPr>
        <w:t>The amendments in this proposed Update do not amend the definition of a joint venture (or a corporate joint venture), the accounting by an equity method investor for its investment in a joint venture, or the accounting by a joint venture for contributions received after its formation.</w:t>
      </w:r>
    </w:p>
    <w:p w14:paraId="7C054799" w14:textId="77777777" w:rsidR="00B14CAB" w:rsidRDefault="00B14CAB" w:rsidP="00584FC9">
      <w:pPr>
        <w:spacing w:after="0" w:line="240" w:lineRule="auto"/>
        <w:jc w:val="both"/>
        <w:rPr>
          <w:rStyle w:val="Emphasis"/>
          <w:rFonts w:ascii="Times New Roman" w:hAnsi="Times New Roman" w:cs="Times New Roman"/>
          <w:color w:val="FF0000"/>
        </w:rPr>
      </w:pPr>
    </w:p>
    <w:p w14:paraId="12DF9158" w14:textId="77777777" w:rsidR="00584FC9" w:rsidRPr="00584FC9" w:rsidRDefault="00584FC9" w:rsidP="00584FC9">
      <w:pPr>
        <w:spacing w:after="0" w:line="240" w:lineRule="auto"/>
        <w:jc w:val="both"/>
        <w:rPr>
          <w:rFonts w:ascii="Times New Roman" w:hAnsi="Times New Roman" w:cs="Times New Roman"/>
          <w:b/>
          <w:color w:val="000000" w:themeColor="text1"/>
          <w:u w:val="single"/>
        </w:rPr>
      </w:pPr>
      <w:r w:rsidRPr="00584FC9">
        <w:rPr>
          <w:rFonts w:ascii="Times New Roman" w:hAnsi="Times New Roman" w:cs="Times New Roman"/>
          <w:b/>
          <w:color w:val="000000" w:themeColor="text1"/>
          <w:u w:val="single"/>
        </w:rPr>
        <w:t xml:space="preserve">Staff Review and Commentary: </w:t>
      </w:r>
    </w:p>
    <w:p w14:paraId="10DA1FF2" w14:textId="3029EB94" w:rsidR="00584FC9" w:rsidRDefault="00584FC9" w:rsidP="0009671B">
      <w:pPr>
        <w:tabs>
          <w:tab w:val="center" w:pos="5040"/>
        </w:tabs>
        <w:spacing w:after="0" w:line="240" w:lineRule="auto"/>
        <w:jc w:val="both"/>
        <w:rPr>
          <w:rFonts w:ascii="Times New Roman" w:hAnsi="Times New Roman" w:cs="Times New Roman"/>
          <w:color w:val="000000" w:themeColor="text1"/>
        </w:rPr>
      </w:pPr>
      <w:r w:rsidRPr="00584FC9">
        <w:rPr>
          <w:rFonts w:ascii="Times New Roman" w:hAnsi="Times New Roman" w:cs="Times New Roman"/>
          <w:color w:val="000000" w:themeColor="text1"/>
        </w:rPr>
        <w:t xml:space="preserve">Comment deadline is </w:t>
      </w:r>
      <w:r w:rsidR="00AE0C7D">
        <w:rPr>
          <w:rFonts w:ascii="Times New Roman" w:hAnsi="Times New Roman" w:cs="Times New Roman"/>
          <w:color w:val="000000" w:themeColor="text1"/>
        </w:rPr>
        <w:t>December 27</w:t>
      </w:r>
      <w:r>
        <w:rPr>
          <w:rFonts w:ascii="Times New Roman" w:hAnsi="Times New Roman" w:cs="Times New Roman"/>
          <w:color w:val="000000" w:themeColor="text1"/>
        </w:rPr>
        <w:t>, 2022</w:t>
      </w:r>
      <w:r w:rsidRPr="00584FC9">
        <w:rPr>
          <w:rFonts w:ascii="Times New Roman" w:hAnsi="Times New Roman" w:cs="Times New Roman"/>
          <w:color w:val="000000" w:themeColor="text1"/>
        </w:rPr>
        <w:t xml:space="preserve"> </w:t>
      </w:r>
    </w:p>
    <w:p w14:paraId="3E22CA17" w14:textId="77777777" w:rsidR="00AE0C7D" w:rsidRPr="00AE0C7D" w:rsidRDefault="00AE0C7D" w:rsidP="0009671B">
      <w:pPr>
        <w:tabs>
          <w:tab w:val="center" w:pos="5040"/>
        </w:tabs>
        <w:spacing w:after="0" w:line="240" w:lineRule="auto"/>
        <w:jc w:val="both"/>
        <w:rPr>
          <w:rFonts w:ascii="Times New Roman" w:hAnsi="Times New Roman" w:cs="Times New Roman"/>
          <w:b/>
          <w:bCs/>
          <w:color w:val="000000" w:themeColor="text1"/>
        </w:rPr>
      </w:pPr>
    </w:p>
    <w:p w14:paraId="096FC934" w14:textId="3ED8F75C" w:rsidR="00AE0C7D" w:rsidRPr="00AE0C7D" w:rsidRDefault="00AE0C7D" w:rsidP="0009671B">
      <w:pPr>
        <w:tabs>
          <w:tab w:val="center" w:pos="5040"/>
        </w:tabs>
        <w:spacing w:after="0" w:line="240" w:lineRule="auto"/>
        <w:jc w:val="both"/>
        <w:rPr>
          <w:rFonts w:ascii="Times New Roman" w:hAnsi="Times New Roman" w:cs="Times New Roman"/>
          <w:b/>
          <w:bCs/>
          <w:color w:val="212529"/>
          <w:shd w:val="clear" w:color="auto" w:fill="FFFFFF"/>
        </w:rPr>
      </w:pPr>
      <w:r w:rsidRPr="00AE0C7D">
        <w:rPr>
          <w:rFonts w:ascii="Times New Roman" w:hAnsi="Times New Roman" w:cs="Times New Roman"/>
          <w:b/>
          <w:bCs/>
          <w:color w:val="212529"/>
          <w:shd w:val="clear" w:color="auto" w:fill="FFFFFF"/>
        </w:rPr>
        <w:t>Proposed Statement of Financial Accounting Concepts No. 8—</w:t>
      </w:r>
      <w:r w:rsidRPr="00AE0C7D">
        <w:rPr>
          <w:rStyle w:val="Emphasis"/>
          <w:rFonts w:ascii="Times New Roman" w:hAnsi="Times New Roman" w:cs="Times New Roman"/>
          <w:b/>
          <w:bCs/>
          <w:color w:val="212529"/>
          <w:shd w:val="clear" w:color="auto" w:fill="FFFFFF"/>
        </w:rPr>
        <w:t>Conceptual Framework for Financial Reporting—Chapter 2:</w:t>
      </w:r>
      <w:r w:rsidRPr="00AE0C7D">
        <w:rPr>
          <w:rFonts w:ascii="Times New Roman" w:hAnsi="Times New Roman" w:cs="Times New Roman"/>
          <w:b/>
          <w:bCs/>
          <w:color w:val="212529"/>
          <w:shd w:val="clear" w:color="auto" w:fill="FFFFFF"/>
        </w:rPr>
        <w:t> The Reporting Entity</w:t>
      </w:r>
    </w:p>
    <w:p w14:paraId="5162271D" w14:textId="77777777" w:rsidR="00AE0C7D" w:rsidRDefault="00AE0C7D" w:rsidP="0009671B">
      <w:pPr>
        <w:tabs>
          <w:tab w:val="center" w:pos="5040"/>
        </w:tabs>
        <w:spacing w:after="0" w:line="240" w:lineRule="auto"/>
        <w:jc w:val="both"/>
        <w:rPr>
          <w:rFonts w:ascii="Times New Roman" w:hAnsi="Times New Roman" w:cs="Times New Roman"/>
          <w:color w:val="212529"/>
          <w:shd w:val="clear" w:color="auto" w:fill="FFFFFF"/>
        </w:rPr>
      </w:pPr>
    </w:p>
    <w:p w14:paraId="62B55327" w14:textId="77777777" w:rsidR="00163C9D" w:rsidRDefault="00163C9D" w:rsidP="0009671B">
      <w:pPr>
        <w:tabs>
          <w:tab w:val="center" w:pos="5040"/>
        </w:tabs>
        <w:spacing w:after="0" w:line="240" w:lineRule="auto"/>
        <w:jc w:val="both"/>
        <w:rPr>
          <w:rFonts w:ascii="Times New Roman" w:hAnsi="Times New Roman" w:cs="Times New Roman"/>
          <w:color w:val="000000" w:themeColor="text1"/>
        </w:rPr>
      </w:pPr>
      <w:r w:rsidRPr="00163C9D">
        <w:rPr>
          <w:rFonts w:ascii="Times New Roman" w:hAnsi="Times New Roman" w:cs="Times New Roman"/>
          <w:color w:val="000000" w:themeColor="text1"/>
        </w:rPr>
        <w:t xml:space="preserve">The Financial Accounting Standards Board (FASB or Board) issued its first Concepts Statement in 1978 and issued six more by 2000. In 2004, the International Accounting Standards Board (IASB) and the FASB (the Boards) began a joint project to revise and converge their conceptual frameworks. The result of that joint project was FASB Concepts Statement No. 8, Conceptual Framework for Financial Reporting—Chapter 1, The Objective of </w:t>
      </w:r>
      <w:proofErr w:type="gramStart"/>
      <w:r w:rsidRPr="00163C9D">
        <w:rPr>
          <w:rFonts w:ascii="Times New Roman" w:hAnsi="Times New Roman" w:cs="Times New Roman"/>
          <w:color w:val="000000" w:themeColor="text1"/>
        </w:rPr>
        <w:t>General Purpose</w:t>
      </w:r>
      <w:proofErr w:type="gramEnd"/>
      <w:r w:rsidRPr="00163C9D">
        <w:rPr>
          <w:rFonts w:ascii="Times New Roman" w:hAnsi="Times New Roman" w:cs="Times New Roman"/>
          <w:color w:val="000000" w:themeColor="text1"/>
        </w:rPr>
        <w:t xml:space="preserve"> Financial Reporting, and Chapter 3, Qualitative Characteristics of Useful Financial Information. In late 2010, the Boards decided to postpone further action on their respective conceptual frameworks until after the </w:t>
      </w:r>
      <w:r w:rsidRPr="00163C9D">
        <w:rPr>
          <w:rFonts w:ascii="Times New Roman" w:hAnsi="Times New Roman" w:cs="Times New Roman"/>
          <w:color w:val="000000" w:themeColor="text1"/>
        </w:rPr>
        <w:lastRenderedPageBreak/>
        <w:t xml:space="preserve">completion of several joint projects and ultimately agreed to discontinue the effort to work on their frameworks on a joint basis. </w:t>
      </w:r>
    </w:p>
    <w:p w14:paraId="03368FE9" w14:textId="77777777" w:rsidR="00163C9D" w:rsidRDefault="00163C9D" w:rsidP="0009671B">
      <w:pPr>
        <w:tabs>
          <w:tab w:val="center" w:pos="5040"/>
        </w:tabs>
        <w:spacing w:after="0" w:line="240" w:lineRule="auto"/>
        <w:jc w:val="both"/>
        <w:rPr>
          <w:rFonts w:ascii="Times New Roman" w:hAnsi="Times New Roman" w:cs="Times New Roman"/>
          <w:color w:val="000000" w:themeColor="text1"/>
        </w:rPr>
      </w:pPr>
    </w:p>
    <w:p w14:paraId="72742B20" w14:textId="6143DB07" w:rsidR="00AE0C7D" w:rsidRDefault="00163C9D" w:rsidP="0009671B">
      <w:pPr>
        <w:tabs>
          <w:tab w:val="center" w:pos="5040"/>
        </w:tabs>
        <w:spacing w:after="0" w:line="240" w:lineRule="auto"/>
        <w:jc w:val="both"/>
        <w:rPr>
          <w:rFonts w:ascii="Times New Roman" w:hAnsi="Times New Roman" w:cs="Times New Roman"/>
          <w:color w:val="000000" w:themeColor="text1"/>
        </w:rPr>
      </w:pPr>
      <w:r w:rsidRPr="00163C9D">
        <w:rPr>
          <w:rFonts w:ascii="Times New Roman" w:hAnsi="Times New Roman" w:cs="Times New Roman"/>
          <w:color w:val="000000" w:themeColor="text1"/>
        </w:rPr>
        <w:t>In January 2014, the FASB reactivated its Conceptual Framework project. This proposed Concepts Statement, which would become Chapter 2 of Concepts Statement 8, describes a reporting entity.</w:t>
      </w:r>
    </w:p>
    <w:p w14:paraId="3629816C" w14:textId="77777777" w:rsidR="00302A32" w:rsidRDefault="00302A32" w:rsidP="0009671B">
      <w:pPr>
        <w:tabs>
          <w:tab w:val="center" w:pos="5040"/>
        </w:tabs>
        <w:spacing w:after="0" w:line="240" w:lineRule="auto"/>
        <w:jc w:val="both"/>
        <w:rPr>
          <w:rFonts w:ascii="Times New Roman" w:hAnsi="Times New Roman" w:cs="Times New Roman"/>
          <w:color w:val="000000" w:themeColor="text1"/>
        </w:rPr>
      </w:pPr>
    </w:p>
    <w:p w14:paraId="2E0475BB" w14:textId="76A9ECA9" w:rsidR="00302A32" w:rsidRDefault="00302A32" w:rsidP="0009671B">
      <w:pPr>
        <w:tabs>
          <w:tab w:val="center" w:pos="5040"/>
        </w:tabs>
        <w:spacing w:after="0" w:line="240" w:lineRule="auto"/>
        <w:jc w:val="both"/>
        <w:rPr>
          <w:rFonts w:ascii="Times New Roman" w:hAnsi="Times New Roman" w:cs="Times New Roman"/>
          <w:color w:val="000000" w:themeColor="text1"/>
        </w:rPr>
      </w:pPr>
      <w:r w:rsidRPr="00302A32">
        <w:rPr>
          <w:rFonts w:ascii="Times New Roman" w:hAnsi="Times New Roman" w:cs="Times New Roman"/>
          <w:color w:val="000000" w:themeColor="text1"/>
        </w:rPr>
        <w:t>This chapter of Concepts Statement 8 would be similar to the rest of the framework in that it establishes concepts that the Board would use in developing standards of financial accounting and reporting. In particular, this chapter would provide the Board with a framework for matters relating to the identification of a reporting entity. This chapter would provide the Board with a framework for developing standards that meet the objective of financial reporting and enhance the understandability of information for existing and potential investors, lenders, donors, and other resource providers of a reporting entity.</w:t>
      </w:r>
    </w:p>
    <w:p w14:paraId="370169A5" w14:textId="77777777" w:rsidR="00AA6AF8" w:rsidRDefault="00AA6AF8" w:rsidP="0009671B">
      <w:pPr>
        <w:tabs>
          <w:tab w:val="center" w:pos="5040"/>
        </w:tabs>
        <w:spacing w:after="0" w:line="240" w:lineRule="auto"/>
        <w:jc w:val="both"/>
        <w:rPr>
          <w:rFonts w:ascii="Times New Roman" w:hAnsi="Times New Roman" w:cs="Times New Roman"/>
          <w:color w:val="000000" w:themeColor="text1"/>
        </w:rPr>
      </w:pPr>
    </w:p>
    <w:p w14:paraId="39FB0358" w14:textId="77777777" w:rsidR="00AA6AF8" w:rsidRDefault="00AA6AF8" w:rsidP="00AA6AF8">
      <w:pPr>
        <w:spacing w:after="0" w:line="240" w:lineRule="auto"/>
        <w:jc w:val="both"/>
        <w:rPr>
          <w:rFonts w:ascii="Times New Roman" w:hAnsi="Times New Roman" w:cs="Times New Roman"/>
          <w:b/>
          <w:color w:val="000000" w:themeColor="text1"/>
          <w:u w:val="single"/>
        </w:rPr>
      </w:pPr>
      <w:r w:rsidRPr="00584FC9">
        <w:rPr>
          <w:rFonts w:ascii="Times New Roman" w:hAnsi="Times New Roman" w:cs="Times New Roman"/>
          <w:b/>
          <w:color w:val="000000" w:themeColor="text1"/>
          <w:u w:val="single"/>
        </w:rPr>
        <w:t xml:space="preserve">Staff Review and Commentary: </w:t>
      </w:r>
    </w:p>
    <w:p w14:paraId="6DBC09F4" w14:textId="77777777" w:rsidR="00AA6AF8" w:rsidRPr="00584FC9" w:rsidRDefault="00AA6AF8" w:rsidP="00AA6AF8">
      <w:pPr>
        <w:spacing w:after="0" w:line="240" w:lineRule="auto"/>
        <w:jc w:val="both"/>
        <w:rPr>
          <w:rFonts w:ascii="Times New Roman" w:hAnsi="Times New Roman" w:cs="Times New Roman"/>
          <w:b/>
          <w:color w:val="000000" w:themeColor="text1"/>
          <w:u w:val="single"/>
        </w:rPr>
      </w:pPr>
    </w:p>
    <w:p w14:paraId="1963EEF3" w14:textId="61D6BE50" w:rsidR="00AA6AF8" w:rsidRPr="00AE0C7D" w:rsidRDefault="00AA6AF8" w:rsidP="00AA6AF8">
      <w:pPr>
        <w:tabs>
          <w:tab w:val="center" w:pos="5040"/>
        </w:tabs>
        <w:spacing w:after="0" w:line="240" w:lineRule="auto"/>
        <w:jc w:val="both"/>
        <w:rPr>
          <w:rFonts w:ascii="Times New Roman" w:hAnsi="Times New Roman" w:cs="Times New Roman"/>
          <w:color w:val="000000" w:themeColor="text1"/>
        </w:rPr>
      </w:pPr>
      <w:r w:rsidRPr="00584FC9">
        <w:rPr>
          <w:rFonts w:ascii="Times New Roman" w:hAnsi="Times New Roman" w:cs="Times New Roman"/>
          <w:color w:val="000000" w:themeColor="text1"/>
        </w:rPr>
        <w:t xml:space="preserve">Comment deadline is </w:t>
      </w:r>
      <w:r w:rsidRPr="005642C7">
        <w:rPr>
          <w:rFonts w:ascii="Times New Roman" w:hAnsi="Times New Roman" w:cs="Times New Roman"/>
        </w:rPr>
        <w:t>January 16, 2023</w:t>
      </w:r>
    </w:p>
    <w:p w14:paraId="26632E09" w14:textId="77777777" w:rsidR="00302A32" w:rsidRDefault="00302A32" w:rsidP="0009671B">
      <w:pPr>
        <w:tabs>
          <w:tab w:val="center" w:pos="5040"/>
        </w:tabs>
        <w:spacing w:after="0" w:line="240" w:lineRule="auto"/>
        <w:jc w:val="both"/>
        <w:rPr>
          <w:rFonts w:ascii="Times New Roman" w:hAnsi="Times New Roman" w:cs="Times New Roman"/>
          <w:b/>
          <w:bCs/>
        </w:rPr>
      </w:pPr>
    </w:p>
    <w:p w14:paraId="38C632AC" w14:textId="1F3D272D" w:rsidR="00302A32" w:rsidRDefault="00302A32" w:rsidP="0009671B">
      <w:pPr>
        <w:tabs>
          <w:tab w:val="center" w:pos="5040"/>
        </w:tabs>
        <w:spacing w:after="0" w:line="240" w:lineRule="auto"/>
        <w:jc w:val="both"/>
        <w:rPr>
          <w:rFonts w:ascii="Times New Roman" w:hAnsi="Times New Roman" w:cs="Times New Roman"/>
          <w:b/>
          <w:bCs/>
        </w:rPr>
      </w:pPr>
      <w:r w:rsidRPr="00302A32">
        <w:rPr>
          <w:rFonts w:ascii="Times New Roman" w:hAnsi="Times New Roman" w:cs="Times New Roman"/>
          <w:b/>
          <w:bCs/>
        </w:rPr>
        <w:t>Proposed Statement of Financial Accounting Concepts No. 8—</w:t>
      </w:r>
      <w:r w:rsidRPr="00302A32">
        <w:rPr>
          <w:rFonts w:ascii="Times New Roman" w:hAnsi="Times New Roman" w:cs="Times New Roman"/>
          <w:b/>
          <w:bCs/>
          <w:i/>
          <w:iCs/>
        </w:rPr>
        <w:t>Conceptual Framework for Financial Reporting—Chapter 5:</w:t>
      </w:r>
      <w:r w:rsidRPr="00302A32">
        <w:rPr>
          <w:rFonts w:ascii="Times New Roman" w:hAnsi="Times New Roman" w:cs="Times New Roman"/>
          <w:b/>
          <w:bCs/>
        </w:rPr>
        <w:t> Recognition and Derecognition</w:t>
      </w:r>
    </w:p>
    <w:p w14:paraId="197B486C" w14:textId="77777777" w:rsidR="00302A32" w:rsidRDefault="00302A32" w:rsidP="0009671B">
      <w:pPr>
        <w:tabs>
          <w:tab w:val="center" w:pos="5040"/>
        </w:tabs>
        <w:spacing w:after="0" w:line="240" w:lineRule="auto"/>
        <w:jc w:val="both"/>
        <w:rPr>
          <w:rFonts w:ascii="Times New Roman" w:hAnsi="Times New Roman" w:cs="Times New Roman"/>
          <w:b/>
          <w:bCs/>
        </w:rPr>
      </w:pPr>
    </w:p>
    <w:p w14:paraId="42354B71" w14:textId="77777777" w:rsidR="00002820" w:rsidRDefault="00002820" w:rsidP="0009671B">
      <w:pPr>
        <w:tabs>
          <w:tab w:val="center" w:pos="5040"/>
        </w:tabs>
        <w:spacing w:after="0" w:line="240" w:lineRule="auto"/>
        <w:jc w:val="both"/>
        <w:rPr>
          <w:rFonts w:ascii="Times New Roman" w:hAnsi="Times New Roman" w:cs="Times New Roman"/>
        </w:rPr>
      </w:pPr>
      <w:r w:rsidRPr="00002820">
        <w:rPr>
          <w:rFonts w:ascii="Times New Roman" w:hAnsi="Times New Roman" w:cs="Times New Roman"/>
        </w:rPr>
        <w:t xml:space="preserve">The Financial Accounting Standards Board (FASB or Board) issued its first Concepts Statement in 1978 and issued six more by 2000. In 2004, the International Accounting Standards Board (IASB) and the FASB (the Boards) began a joint project to revise and converge their conceptual frameworks. The result of that joint project was FASB Concepts Statement No. 8, Conceptual Framework for Financial Reporting—Chapter 1, The Objective of </w:t>
      </w:r>
      <w:proofErr w:type="gramStart"/>
      <w:r w:rsidRPr="00002820">
        <w:rPr>
          <w:rFonts w:ascii="Times New Roman" w:hAnsi="Times New Roman" w:cs="Times New Roman"/>
        </w:rPr>
        <w:t>General Purpose</w:t>
      </w:r>
      <w:proofErr w:type="gramEnd"/>
      <w:r w:rsidRPr="00002820">
        <w:rPr>
          <w:rFonts w:ascii="Times New Roman" w:hAnsi="Times New Roman" w:cs="Times New Roman"/>
        </w:rPr>
        <w:t xml:space="preserve"> Financial Reporting, and Chapter 3, Qualitative Characteristics of Useful Financial Information. In late 2010, the Boards decided to postpone further action on their respective conceptual frameworks until after the completion of several joint projects and ultimately agreed to discontinue the effort to work jointly on their frameworks. </w:t>
      </w:r>
    </w:p>
    <w:p w14:paraId="2732C6AB" w14:textId="77777777" w:rsidR="00002820" w:rsidRDefault="00002820" w:rsidP="0009671B">
      <w:pPr>
        <w:tabs>
          <w:tab w:val="center" w:pos="5040"/>
        </w:tabs>
        <w:spacing w:after="0" w:line="240" w:lineRule="auto"/>
        <w:jc w:val="both"/>
        <w:rPr>
          <w:rFonts w:ascii="Times New Roman" w:hAnsi="Times New Roman" w:cs="Times New Roman"/>
        </w:rPr>
      </w:pPr>
    </w:p>
    <w:p w14:paraId="7F789381" w14:textId="119BF5D6" w:rsidR="00302A32" w:rsidRDefault="00002820" w:rsidP="0009671B">
      <w:pPr>
        <w:tabs>
          <w:tab w:val="center" w:pos="5040"/>
        </w:tabs>
        <w:spacing w:after="0" w:line="240" w:lineRule="auto"/>
        <w:jc w:val="both"/>
        <w:rPr>
          <w:rFonts w:ascii="Times New Roman" w:hAnsi="Times New Roman" w:cs="Times New Roman"/>
        </w:rPr>
      </w:pPr>
      <w:r w:rsidRPr="00002820">
        <w:rPr>
          <w:rFonts w:ascii="Times New Roman" w:hAnsi="Times New Roman" w:cs="Times New Roman"/>
        </w:rPr>
        <w:t>In January 2014, the FASB reactivated its conceptual framework project. This Exposure Draft, which would become Chapter 5 of Concepts Statement 8, addresses matters relating to the recognition and derecognition of an item in financial statements.</w:t>
      </w:r>
    </w:p>
    <w:p w14:paraId="5AE396C2" w14:textId="77777777" w:rsidR="008F119C" w:rsidRDefault="008F119C" w:rsidP="0009671B">
      <w:pPr>
        <w:tabs>
          <w:tab w:val="center" w:pos="5040"/>
        </w:tabs>
        <w:spacing w:after="0" w:line="240" w:lineRule="auto"/>
        <w:jc w:val="both"/>
        <w:rPr>
          <w:rFonts w:ascii="Times New Roman" w:hAnsi="Times New Roman" w:cs="Times New Roman"/>
        </w:rPr>
      </w:pPr>
    </w:p>
    <w:p w14:paraId="013FFAC8" w14:textId="5632E72D" w:rsidR="008F119C" w:rsidRDefault="008F119C" w:rsidP="0009671B">
      <w:pPr>
        <w:tabs>
          <w:tab w:val="center" w:pos="5040"/>
        </w:tabs>
        <w:spacing w:after="0" w:line="240" w:lineRule="auto"/>
        <w:jc w:val="both"/>
        <w:rPr>
          <w:rFonts w:ascii="Times New Roman" w:hAnsi="Times New Roman" w:cs="Times New Roman"/>
        </w:rPr>
      </w:pPr>
      <w:r w:rsidRPr="008F119C">
        <w:rPr>
          <w:rFonts w:ascii="Times New Roman" w:hAnsi="Times New Roman" w:cs="Times New Roman"/>
        </w:rPr>
        <w:t>Paragraph 105-10-05-3 of the FASB Accounting Standards Codification® states that FASB Concepts Statements are not authoritative. Some standards are inconsistent with the Concepts Statements. This Concepts Statement or other Concepts Statements do not override authoritative standards. If accounting for a transaction or event is not specified in authoritative generally accepted accounting principles (GAAP), an entity first must consider accounting principles for similar transactions or events within authoritative GAAP and then consider nonauthoritative guidance from other sources (including Concepts Statements).</w:t>
      </w:r>
    </w:p>
    <w:p w14:paraId="4EF56D52" w14:textId="77777777" w:rsidR="008F119C" w:rsidRDefault="008F119C" w:rsidP="0009671B">
      <w:pPr>
        <w:tabs>
          <w:tab w:val="center" w:pos="5040"/>
        </w:tabs>
        <w:spacing w:after="0" w:line="240" w:lineRule="auto"/>
        <w:jc w:val="both"/>
        <w:rPr>
          <w:rFonts w:ascii="Times New Roman" w:hAnsi="Times New Roman" w:cs="Times New Roman"/>
        </w:rPr>
      </w:pPr>
    </w:p>
    <w:p w14:paraId="332E0C72" w14:textId="0B04F7D0" w:rsidR="008F119C" w:rsidRDefault="008F119C" w:rsidP="0009671B">
      <w:pPr>
        <w:tabs>
          <w:tab w:val="center" w:pos="5040"/>
        </w:tabs>
        <w:spacing w:after="0" w:line="240" w:lineRule="auto"/>
        <w:jc w:val="both"/>
        <w:rPr>
          <w:rFonts w:ascii="Times New Roman" w:hAnsi="Times New Roman" w:cs="Times New Roman"/>
        </w:rPr>
      </w:pPr>
      <w:r w:rsidRPr="008F119C">
        <w:rPr>
          <w:rFonts w:ascii="Times New Roman" w:hAnsi="Times New Roman" w:cs="Times New Roman"/>
        </w:rPr>
        <w:t>This chapter of Concepts Statement 8 would be similar to the rest of the framework in that it establishes concepts that the Board would use in developing standards of financial accounting and reporting. In particular, this chapter would provide the Board with a framework for conceptual matters relating to the recognition and derecognition of an item in financial statements. This chapter would provide the Board with a framework for developing standards in meeting the 2 objective of financial reporting that enhances the understandability of information to existing and potential investors, lenders, donors, and other resource providers of a reporting entity</w:t>
      </w:r>
      <w:r>
        <w:rPr>
          <w:rFonts w:ascii="Times New Roman" w:hAnsi="Times New Roman" w:cs="Times New Roman"/>
        </w:rPr>
        <w:t>.</w:t>
      </w:r>
    </w:p>
    <w:p w14:paraId="181F9A62" w14:textId="77777777" w:rsidR="008F119C" w:rsidRDefault="008F119C" w:rsidP="0009671B">
      <w:pPr>
        <w:tabs>
          <w:tab w:val="center" w:pos="5040"/>
        </w:tabs>
        <w:spacing w:after="0" w:line="240" w:lineRule="auto"/>
        <w:jc w:val="both"/>
        <w:rPr>
          <w:rFonts w:ascii="Times New Roman" w:hAnsi="Times New Roman" w:cs="Times New Roman"/>
        </w:rPr>
      </w:pPr>
    </w:p>
    <w:p w14:paraId="0B6B04D8" w14:textId="77777777" w:rsidR="008F119C" w:rsidRDefault="008F119C" w:rsidP="008F119C">
      <w:pPr>
        <w:spacing w:after="0" w:line="240" w:lineRule="auto"/>
        <w:jc w:val="both"/>
        <w:rPr>
          <w:rFonts w:ascii="Times New Roman" w:hAnsi="Times New Roman" w:cs="Times New Roman"/>
          <w:b/>
          <w:color w:val="000000" w:themeColor="text1"/>
          <w:u w:val="single"/>
        </w:rPr>
      </w:pPr>
      <w:r w:rsidRPr="00584FC9">
        <w:rPr>
          <w:rFonts w:ascii="Times New Roman" w:hAnsi="Times New Roman" w:cs="Times New Roman"/>
          <w:b/>
          <w:color w:val="000000" w:themeColor="text1"/>
          <w:u w:val="single"/>
        </w:rPr>
        <w:t xml:space="preserve">Staff Review and Commentary: </w:t>
      </w:r>
    </w:p>
    <w:p w14:paraId="23A5784F" w14:textId="77777777" w:rsidR="008F119C" w:rsidRPr="00584FC9" w:rsidRDefault="008F119C" w:rsidP="008F119C">
      <w:pPr>
        <w:spacing w:after="0" w:line="240" w:lineRule="auto"/>
        <w:jc w:val="both"/>
        <w:rPr>
          <w:rFonts w:ascii="Times New Roman" w:hAnsi="Times New Roman" w:cs="Times New Roman"/>
          <w:b/>
          <w:color w:val="000000" w:themeColor="text1"/>
          <w:u w:val="single"/>
        </w:rPr>
      </w:pPr>
    </w:p>
    <w:p w14:paraId="3386ABCA" w14:textId="4D5D523B" w:rsidR="008F119C" w:rsidRPr="00302A32" w:rsidRDefault="008F119C" w:rsidP="008F119C">
      <w:pPr>
        <w:tabs>
          <w:tab w:val="center" w:pos="5040"/>
        </w:tabs>
        <w:spacing w:after="0" w:line="240" w:lineRule="auto"/>
        <w:jc w:val="both"/>
        <w:rPr>
          <w:rFonts w:ascii="Times New Roman" w:hAnsi="Times New Roman" w:cs="Times New Roman"/>
        </w:rPr>
      </w:pPr>
      <w:r w:rsidRPr="00584FC9">
        <w:rPr>
          <w:rFonts w:ascii="Times New Roman" w:hAnsi="Times New Roman" w:cs="Times New Roman"/>
          <w:color w:val="000000" w:themeColor="text1"/>
        </w:rPr>
        <w:t>Comment deadline is</w:t>
      </w:r>
      <w:r>
        <w:rPr>
          <w:rFonts w:ascii="Times New Roman" w:hAnsi="Times New Roman" w:cs="Times New Roman"/>
          <w:color w:val="000000" w:themeColor="text1"/>
        </w:rPr>
        <w:t xml:space="preserve"> February 21, 2023</w:t>
      </w:r>
    </w:p>
    <w:p w14:paraId="14207050" w14:textId="45E9E36A" w:rsidR="004A733A" w:rsidRPr="00655F4C" w:rsidRDefault="0009671B" w:rsidP="0009671B">
      <w:pPr>
        <w:tabs>
          <w:tab w:val="center" w:pos="5040"/>
        </w:tabs>
        <w:spacing w:after="0" w:line="240" w:lineRule="auto"/>
        <w:jc w:val="both"/>
        <w:rPr>
          <w:rFonts w:ascii="Times New Roman" w:hAnsi="Times New Roman" w:cs="Times New Roman"/>
          <w:b/>
          <w:bCs/>
        </w:rPr>
      </w:pPr>
      <w:r w:rsidRPr="00655F4C">
        <w:rPr>
          <w:rFonts w:ascii="Times New Roman" w:hAnsi="Times New Roman" w:cs="Times New Roman"/>
          <w:b/>
          <w:bCs/>
        </w:rPr>
        <w:tab/>
      </w:r>
    </w:p>
    <w:p w14:paraId="5F2602D1" w14:textId="205610CA" w:rsidR="00394925" w:rsidRPr="007024F0" w:rsidRDefault="00FF53A9" w:rsidP="00394925">
      <w:pPr>
        <w:spacing w:after="0" w:line="240" w:lineRule="auto"/>
        <w:jc w:val="both"/>
        <w:rPr>
          <w:rFonts w:ascii="Times New Roman" w:hAnsi="Times New Roman" w:cs="Times New Roman"/>
          <w:b/>
          <w:bCs/>
          <w:iCs/>
        </w:rPr>
      </w:pPr>
      <w:r w:rsidRPr="00655F4C">
        <w:rPr>
          <w:rFonts w:ascii="Times New Roman" w:hAnsi="Times New Roman" w:cs="Times New Roman"/>
          <w:b/>
          <w:bCs/>
        </w:rPr>
        <w:lastRenderedPageBreak/>
        <w:t xml:space="preserve">NAIC staff recommend that </w:t>
      </w:r>
      <w:r w:rsidR="00394925" w:rsidRPr="00655F4C">
        <w:rPr>
          <w:rFonts w:ascii="Times New Roman" w:hAnsi="Times New Roman" w:cs="Times New Roman"/>
          <w:b/>
          <w:bCs/>
        </w:rPr>
        <w:t xml:space="preserve">ASU </w:t>
      </w:r>
      <w:r w:rsidRPr="00655F4C">
        <w:rPr>
          <w:rFonts w:ascii="Times New Roman" w:hAnsi="Times New Roman" w:cs="Times New Roman"/>
          <w:b/>
          <w:bCs/>
        </w:rPr>
        <w:t xml:space="preserve">be reviewed </w:t>
      </w:r>
      <w:r w:rsidR="00394925" w:rsidRPr="00655F4C">
        <w:rPr>
          <w:rFonts w:ascii="Times New Roman" w:hAnsi="Times New Roman" w:cs="Times New Roman"/>
          <w:b/>
          <w:bCs/>
        </w:rPr>
        <w:t xml:space="preserve">under the SAP Maintenance Process as detail in </w:t>
      </w:r>
      <w:r w:rsidR="00394925" w:rsidRPr="00655F4C">
        <w:rPr>
          <w:rFonts w:ascii="Times New Roman" w:hAnsi="Times New Roman" w:cs="Times New Roman"/>
          <w:b/>
          <w:bCs/>
          <w:i/>
        </w:rPr>
        <w:t>Appendix F—Policy Statements.</w:t>
      </w:r>
      <w:r w:rsidR="007024F0">
        <w:rPr>
          <w:rFonts w:ascii="Times New Roman" w:hAnsi="Times New Roman" w:cs="Times New Roman"/>
          <w:b/>
          <w:bCs/>
          <w:i/>
        </w:rPr>
        <w:t xml:space="preserve"> </w:t>
      </w:r>
      <w:r w:rsidR="007024F0" w:rsidRPr="007024F0">
        <w:rPr>
          <w:rFonts w:ascii="Times New Roman" w:hAnsi="Times New Roman" w:cs="Times New Roman"/>
          <w:b/>
          <w:bCs/>
          <w:iCs/>
        </w:rPr>
        <w:t>Additionally</w:t>
      </w:r>
      <w:r w:rsidR="007024F0">
        <w:rPr>
          <w:rFonts w:ascii="Times New Roman" w:hAnsi="Times New Roman" w:cs="Times New Roman"/>
          <w:b/>
          <w:bCs/>
          <w:i/>
        </w:rPr>
        <w:t xml:space="preserve">, </w:t>
      </w:r>
      <w:r w:rsidR="007024F0">
        <w:rPr>
          <w:rFonts w:ascii="Times New Roman" w:hAnsi="Times New Roman" w:cs="Times New Roman"/>
          <w:b/>
          <w:bCs/>
          <w:iCs/>
        </w:rPr>
        <w:t xml:space="preserve">NAIC staff do not believe </w:t>
      </w:r>
      <w:r w:rsidR="00C42BAC">
        <w:rPr>
          <w:rFonts w:ascii="Times New Roman" w:hAnsi="Times New Roman" w:cs="Times New Roman"/>
          <w:b/>
          <w:bCs/>
          <w:iCs/>
        </w:rPr>
        <w:t>a response on the invitation to comment is warranted a</w:t>
      </w:r>
      <w:r w:rsidR="00663E9D">
        <w:rPr>
          <w:rFonts w:ascii="Times New Roman" w:hAnsi="Times New Roman" w:cs="Times New Roman"/>
          <w:b/>
          <w:bCs/>
          <w:iCs/>
        </w:rPr>
        <w:t>t</w:t>
      </w:r>
      <w:r w:rsidR="00C42BAC">
        <w:rPr>
          <w:rFonts w:ascii="Times New Roman" w:hAnsi="Times New Roman" w:cs="Times New Roman"/>
          <w:b/>
          <w:bCs/>
          <w:iCs/>
        </w:rPr>
        <w:t xml:space="preserve"> this time. </w:t>
      </w:r>
    </w:p>
    <w:p w14:paraId="6D83DE40" w14:textId="77777777" w:rsidR="004A733A" w:rsidRDefault="004A733A" w:rsidP="004A733A">
      <w:pPr>
        <w:spacing w:after="0" w:line="240" w:lineRule="auto"/>
        <w:jc w:val="both"/>
        <w:rPr>
          <w:rFonts w:ascii="Times New Roman" w:hAnsi="Times New Roman" w:cs="Times New Roman"/>
        </w:rPr>
      </w:pPr>
    </w:p>
    <w:p w14:paraId="251BA4CB" w14:textId="519D78BE" w:rsidR="0020020F" w:rsidRPr="00EE6D3A" w:rsidRDefault="00D02C30" w:rsidP="004A733A">
      <w:pPr>
        <w:spacing w:after="0" w:line="240" w:lineRule="auto"/>
        <w:jc w:val="both"/>
        <w:rPr>
          <w:rFonts w:ascii="Times New Roman" w:hAnsi="Times New Roman" w:cs="Times New Roman"/>
        </w:rPr>
      </w:pPr>
      <w:r w:rsidRPr="00D02C30">
        <w:rPr>
          <w:rFonts w:ascii="Times New Roman" w:hAnsi="Times New Roman" w:cs="Times New Roman"/>
          <w:sz w:val="16"/>
          <w:szCs w:val="16"/>
        </w:rPr>
        <w:fldChar w:fldCharType="begin"/>
      </w:r>
      <w:r w:rsidRPr="00D02C30">
        <w:rPr>
          <w:rFonts w:ascii="Times New Roman" w:hAnsi="Times New Roman" w:cs="Times New Roman"/>
          <w:sz w:val="16"/>
          <w:szCs w:val="16"/>
        </w:rPr>
        <w:instrText xml:space="preserve"> FILENAME  \p  \* MERGEFORMAT </w:instrText>
      </w:r>
      <w:r w:rsidRPr="00D02C30">
        <w:rPr>
          <w:rFonts w:ascii="Times New Roman" w:hAnsi="Times New Roman" w:cs="Times New Roman"/>
          <w:sz w:val="16"/>
          <w:szCs w:val="16"/>
        </w:rPr>
        <w:fldChar w:fldCharType="separate"/>
      </w:r>
      <w:r w:rsidR="00037724">
        <w:rPr>
          <w:rFonts w:ascii="Times New Roman" w:hAnsi="Times New Roman" w:cs="Times New Roman"/>
          <w:noProof/>
          <w:sz w:val="16"/>
          <w:szCs w:val="16"/>
        </w:rPr>
        <w:t>https://naiconline.sharepoint.com/teams/FRSStatutoryAccounting/National Meetings/A. National Meeting Materials/2022/Fall - December/Meeting/M - Review of GAAP Exposures.docx</w:t>
      </w:r>
      <w:r w:rsidRPr="00D02C30">
        <w:rPr>
          <w:rFonts w:ascii="Times New Roman" w:hAnsi="Times New Roman" w:cs="Times New Roman"/>
          <w:sz w:val="16"/>
          <w:szCs w:val="16"/>
        </w:rPr>
        <w:fldChar w:fldCharType="end"/>
      </w:r>
    </w:p>
    <w:bookmarkEnd w:id="1"/>
    <w:p w14:paraId="308DD311" w14:textId="77777777" w:rsidR="00792C05" w:rsidRPr="00EE6D3A" w:rsidRDefault="00792C05">
      <w:pPr>
        <w:jc w:val="both"/>
        <w:rPr>
          <w:rFonts w:ascii="Times New Roman" w:hAnsi="Times New Roman" w:cs="Times New Roman"/>
        </w:rPr>
      </w:pPr>
    </w:p>
    <w:sectPr w:rsidR="00792C05" w:rsidRPr="00EE6D3A" w:rsidSect="00C861BE">
      <w:headerReference w:type="default" r:id="rId12"/>
      <w:footerReference w:type="default" r:id="rId13"/>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F5F28" w14:textId="77777777" w:rsidR="00275745" w:rsidRDefault="00275745" w:rsidP="00F8576D">
      <w:pPr>
        <w:spacing w:after="0" w:line="240" w:lineRule="auto"/>
      </w:pPr>
      <w:r>
        <w:separator/>
      </w:r>
    </w:p>
  </w:endnote>
  <w:endnote w:type="continuationSeparator" w:id="0">
    <w:p w14:paraId="1F139244" w14:textId="77777777" w:rsidR="00275745" w:rsidRDefault="00275745" w:rsidP="00F8576D">
      <w:pPr>
        <w:spacing w:after="0" w:line="240" w:lineRule="auto"/>
      </w:pPr>
      <w:r>
        <w:continuationSeparator/>
      </w:r>
    </w:p>
  </w:endnote>
  <w:endnote w:type="continuationNotice" w:id="1">
    <w:p w14:paraId="22412B68" w14:textId="77777777" w:rsidR="00275745" w:rsidRDefault="002757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A25F3" w14:textId="492F1597" w:rsidR="00496E21" w:rsidRPr="00C861BE" w:rsidRDefault="00496E21" w:rsidP="00C861BE">
    <w:pPr>
      <w:pStyle w:val="Footer"/>
      <w:rPr>
        <w:rFonts w:ascii="Times New Roman" w:hAnsi="Times New Roman" w:cs="Times New Roman"/>
        <w:sz w:val="20"/>
        <w:szCs w:val="20"/>
      </w:rPr>
    </w:pPr>
    <w:r>
      <w:rPr>
        <w:rFonts w:ascii="Times New Roman" w:hAnsi="Times New Roman" w:cs="Times New Roman"/>
        <w:sz w:val="20"/>
        <w:szCs w:val="20"/>
      </w:rPr>
      <w:t>© 20</w:t>
    </w:r>
    <w:r w:rsidR="00EA570C">
      <w:rPr>
        <w:rFonts w:ascii="Times New Roman" w:hAnsi="Times New Roman" w:cs="Times New Roman"/>
        <w:sz w:val="20"/>
        <w:szCs w:val="20"/>
      </w:rPr>
      <w:t>2</w:t>
    </w:r>
    <w:r w:rsidR="004C6583">
      <w:rPr>
        <w:rFonts w:ascii="Times New Roman" w:hAnsi="Times New Roman" w:cs="Times New Roman"/>
        <w:sz w:val="20"/>
        <w:szCs w:val="20"/>
      </w:rPr>
      <w:t>2</w:t>
    </w:r>
    <w:r w:rsidRPr="00C861BE">
      <w:rPr>
        <w:rFonts w:ascii="Times New Roman" w:hAnsi="Times New Roman" w:cs="Times New Roman"/>
        <w:sz w:val="20"/>
        <w:szCs w:val="20"/>
      </w:rPr>
      <w:t xml:space="preserve"> National Association of Insurance Commissioners        </w:t>
    </w:r>
    <w:r w:rsidRPr="00C861BE">
      <w:rPr>
        <w:rStyle w:val="PageNumber"/>
        <w:rFonts w:ascii="Times New Roman" w:hAnsi="Times New Roman" w:cs="Times New Roman"/>
        <w:sz w:val="20"/>
        <w:szCs w:val="20"/>
      </w:rPr>
      <w:fldChar w:fldCharType="begin"/>
    </w:r>
    <w:r w:rsidRPr="00C861BE">
      <w:rPr>
        <w:rStyle w:val="PageNumber"/>
        <w:rFonts w:ascii="Times New Roman" w:hAnsi="Times New Roman" w:cs="Times New Roman"/>
        <w:sz w:val="20"/>
        <w:szCs w:val="20"/>
      </w:rPr>
      <w:instrText xml:space="preserve"> PAGE </w:instrText>
    </w:r>
    <w:r w:rsidRPr="00C861BE">
      <w:rPr>
        <w:rStyle w:val="PageNumber"/>
        <w:rFonts w:ascii="Times New Roman" w:hAnsi="Times New Roman" w:cs="Times New Roman"/>
        <w:sz w:val="20"/>
        <w:szCs w:val="20"/>
      </w:rPr>
      <w:fldChar w:fldCharType="separate"/>
    </w:r>
    <w:r>
      <w:rPr>
        <w:rStyle w:val="PageNumber"/>
        <w:rFonts w:ascii="Times New Roman" w:hAnsi="Times New Roman" w:cs="Times New Roman"/>
        <w:noProof/>
        <w:sz w:val="20"/>
        <w:szCs w:val="20"/>
      </w:rPr>
      <w:t>1</w:t>
    </w:r>
    <w:r w:rsidRPr="00C861BE">
      <w:rPr>
        <w:rStyle w:val="PageNumber"/>
        <w:rFonts w:ascii="Times New Roman" w:hAnsi="Times New Roman" w:cs="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14621" w14:textId="77777777" w:rsidR="00275745" w:rsidRDefault="00275745" w:rsidP="00F8576D">
      <w:pPr>
        <w:spacing w:after="0" w:line="240" w:lineRule="auto"/>
      </w:pPr>
      <w:r>
        <w:separator/>
      </w:r>
    </w:p>
  </w:footnote>
  <w:footnote w:type="continuationSeparator" w:id="0">
    <w:p w14:paraId="7D9D4FE1" w14:textId="77777777" w:rsidR="00275745" w:rsidRDefault="00275745" w:rsidP="00F8576D">
      <w:pPr>
        <w:spacing w:after="0" w:line="240" w:lineRule="auto"/>
      </w:pPr>
      <w:r>
        <w:continuationSeparator/>
      </w:r>
    </w:p>
  </w:footnote>
  <w:footnote w:type="continuationNotice" w:id="1">
    <w:p w14:paraId="1E8B5857" w14:textId="77777777" w:rsidR="00275745" w:rsidRDefault="0027574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8688A" w14:textId="089703FA" w:rsidR="00496E21" w:rsidRPr="00296314" w:rsidRDefault="00496E21" w:rsidP="00296314">
    <w:pPr>
      <w:pStyle w:val="Header"/>
      <w:jc w:val="right"/>
      <w:rPr>
        <w:rFonts w:ascii="Times New Roman" w:hAnsi="Times New Roman" w:cs="Times New Roman"/>
        <w:b/>
        <w:bCs/>
        <w:sz w:val="20"/>
        <w:szCs w:val="20"/>
      </w:rPr>
    </w:pPr>
    <w:r w:rsidRPr="002A6A28">
      <w:rPr>
        <w:rFonts w:ascii="Times New Roman" w:hAnsi="Times New Roman" w:cs="Times New Roman"/>
        <w:b/>
        <w:bCs/>
        <w:sz w:val="20"/>
        <w:szCs w:val="20"/>
      </w:rPr>
      <w:t>Attachment</w:t>
    </w:r>
    <w:r w:rsidR="00EA570C">
      <w:rPr>
        <w:rFonts w:ascii="Times New Roman" w:hAnsi="Times New Roman" w:cs="Times New Roman"/>
        <w:b/>
        <w:bCs/>
        <w:sz w:val="20"/>
        <w:szCs w:val="20"/>
      </w:rPr>
      <w:t xml:space="preserve"> </w:t>
    </w:r>
    <w:r w:rsidR="00E73068">
      <w:rPr>
        <w:rFonts w:ascii="Times New Roman" w:hAnsi="Times New Roman" w:cs="Times New Roman"/>
        <w:b/>
        <w:bCs/>
        <w:sz w:val="20"/>
        <w:szCs w:val="20"/>
      </w:rPr>
      <w:t>M</w:t>
    </w:r>
    <w:r w:rsidRPr="002A6A28">
      <w:rPr>
        <w:rFonts w:ascii="Times New Roman" w:hAnsi="Times New Roman" w:cs="Times New Roman"/>
        <w:b/>
        <w:bCs/>
        <w:sz w:val="20"/>
        <w:szCs w:val="20"/>
      </w:rPr>
      <w:t xml:space="preserve"> </w:t>
    </w:r>
  </w:p>
  <w:p w14:paraId="000F4BDB" w14:textId="77777777" w:rsidR="00496E21" w:rsidRPr="00296314" w:rsidRDefault="00496E21" w:rsidP="00296314">
    <w:pPr>
      <w:pStyle w:val="Header"/>
      <w:jc w:val="right"/>
      <w:rPr>
        <w:rFonts w:ascii="Times New Roman" w:hAnsi="Times New Roman" w:cs="Times New Roman"/>
        <w:bCs/>
        <w:sz w:val="20"/>
        <w:szCs w:val="20"/>
      </w:rPr>
    </w:pPr>
    <w:r>
      <w:rPr>
        <w:rFonts w:ascii="Times New Roman" w:hAnsi="Times New Roman" w:cs="Times New Roman"/>
        <w:bCs/>
        <w:sz w:val="20"/>
        <w:szCs w:val="20"/>
      </w:rPr>
      <w:t>Review of GAAP Exposures</w:t>
    </w:r>
  </w:p>
  <w:p w14:paraId="65DDBC3D" w14:textId="77777777" w:rsidR="00496E21" w:rsidRPr="009070C7" w:rsidRDefault="00496E21" w:rsidP="009070C7">
    <w:pPr>
      <w:pStyle w:val="Header"/>
      <w:jc w:val="right"/>
      <w:rPr>
        <w:rFonts w:ascii="Times New Roman" w:hAnsi="Times New Roman" w:cs="Times New Roman"/>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379E47B"/>
    <w:multiLevelType w:val="hybridMultilevel"/>
    <w:tmpl w:val="495E0E07"/>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D12961B"/>
    <w:multiLevelType w:val="hybridMultilevel"/>
    <w:tmpl w:val="21A45220"/>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954D70"/>
    <w:multiLevelType w:val="hybridMultilevel"/>
    <w:tmpl w:val="980A30F4"/>
    <w:lvl w:ilvl="0" w:tplc="A9EC34BE">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30016A"/>
    <w:multiLevelType w:val="hybridMultilevel"/>
    <w:tmpl w:val="B9D0DC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BA15D2A"/>
    <w:multiLevelType w:val="hybridMultilevel"/>
    <w:tmpl w:val="623E3C86"/>
    <w:lvl w:ilvl="0" w:tplc="44281C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D2957"/>
    <w:multiLevelType w:val="hybridMultilevel"/>
    <w:tmpl w:val="21D2C3EE"/>
    <w:lvl w:ilvl="0" w:tplc="6F269B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9E94550"/>
    <w:multiLevelType w:val="hybridMultilevel"/>
    <w:tmpl w:val="C17891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5B2EDB"/>
    <w:multiLevelType w:val="hybridMultilevel"/>
    <w:tmpl w:val="980A30F4"/>
    <w:lvl w:ilvl="0" w:tplc="A9EC34BE">
      <w:start w:val="1"/>
      <w:numFmt w:val="decimal"/>
      <w:lvlText w:val="(%1)"/>
      <w:lvlJc w:val="left"/>
      <w:pPr>
        <w:ind w:left="423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FF2805"/>
    <w:multiLevelType w:val="hybridMultilevel"/>
    <w:tmpl w:val="5A9A3C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F97B14"/>
    <w:multiLevelType w:val="hybridMultilevel"/>
    <w:tmpl w:val="5082D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2728FA"/>
    <w:multiLevelType w:val="hybridMultilevel"/>
    <w:tmpl w:val="597E995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A275E18"/>
    <w:multiLevelType w:val="hybridMultilevel"/>
    <w:tmpl w:val="ED5EE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1324C7"/>
    <w:multiLevelType w:val="hybridMultilevel"/>
    <w:tmpl w:val="55B474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964D46"/>
    <w:multiLevelType w:val="hybridMultilevel"/>
    <w:tmpl w:val="B5421BB4"/>
    <w:lvl w:ilvl="0" w:tplc="4A0C0948">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AB12952"/>
    <w:multiLevelType w:val="hybridMultilevel"/>
    <w:tmpl w:val="F5869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F40F02"/>
    <w:multiLevelType w:val="hybridMultilevel"/>
    <w:tmpl w:val="55B474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196039"/>
    <w:multiLevelType w:val="hybridMultilevel"/>
    <w:tmpl w:val="203AA562"/>
    <w:lvl w:ilvl="0" w:tplc="F31ADB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655617"/>
    <w:multiLevelType w:val="hybridMultilevel"/>
    <w:tmpl w:val="824ADA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8667EC"/>
    <w:multiLevelType w:val="hybridMultilevel"/>
    <w:tmpl w:val="9C247C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E82CB8"/>
    <w:multiLevelType w:val="hybridMultilevel"/>
    <w:tmpl w:val="701C65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A962B2"/>
    <w:multiLevelType w:val="hybridMultilevel"/>
    <w:tmpl w:val="3282E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01700C"/>
    <w:multiLevelType w:val="hybridMultilevel"/>
    <w:tmpl w:val="8970F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7758AB"/>
    <w:multiLevelType w:val="hybridMultilevel"/>
    <w:tmpl w:val="9B360768"/>
    <w:lvl w:ilvl="0" w:tplc="A9EC34BE">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CF3691E"/>
    <w:multiLevelType w:val="hybridMultilevel"/>
    <w:tmpl w:val="250809B4"/>
    <w:lvl w:ilvl="0" w:tplc="A3FED136">
      <w:start w:val="1"/>
      <w:numFmt w:val="decimal"/>
      <w:lvlText w:val="%1."/>
      <w:lvlJc w:val="left"/>
      <w:pPr>
        <w:ind w:left="360" w:hanging="360"/>
      </w:pPr>
      <w:rPr>
        <w:rFonts w:eastAsia="Times New Roman" w:hint="default"/>
        <w:b/>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3FF5C3E"/>
    <w:multiLevelType w:val="hybridMultilevel"/>
    <w:tmpl w:val="623E3C86"/>
    <w:lvl w:ilvl="0" w:tplc="44281C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F228F7"/>
    <w:multiLevelType w:val="multilevel"/>
    <w:tmpl w:val="AEB02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7C92C2F"/>
    <w:multiLevelType w:val="hybridMultilevel"/>
    <w:tmpl w:val="623E3C86"/>
    <w:lvl w:ilvl="0" w:tplc="44281C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B012C2"/>
    <w:multiLevelType w:val="hybridMultilevel"/>
    <w:tmpl w:val="F9142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A145C8"/>
    <w:multiLevelType w:val="hybridMultilevel"/>
    <w:tmpl w:val="7708DA2C"/>
    <w:lvl w:ilvl="0" w:tplc="5208982E">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F066373"/>
    <w:multiLevelType w:val="hybridMultilevel"/>
    <w:tmpl w:val="F3AC9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522324">
    <w:abstractNumId w:val="11"/>
  </w:num>
  <w:num w:numId="2" w16cid:durableId="321861172">
    <w:abstractNumId w:val="7"/>
  </w:num>
  <w:num w:numId="3" w16cid:durableId="508451403">
    <w:abstractNumId w:val="19"/>
  </w:num>
  <w:num w:numId="4" w16cid:durableId="1507599342">
    <w:abstractNumId w:val="22"/>
  </w:num>
  <w:num w:numId="5" w16cid:durableId="1561402678">
    <w:abstractNumId w:val="4"/>
  </w:num>
  <w:num w:numId="6" w16cid:durableId="869142976">
    <w:abstractNumId w:val="16"/>
  </w:num>
  <w:num w:numId="7" w16cid:durableId="327296870">
    <w:abstractNumId w:val="21"/>
  </w:num>
  <w:num w:numId="8" w16cid:durableId="5383992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58923826">
    <w:abstractNumId w:val="2"/>
  </w:num>
  <w:num w:numId="10" w16cid:durableId="143472765">
    <w:abstractNumId w:val="26"/>
  </w:num>
  <w:num w:numId="11" w16cid:durableId="766657491">
    <w:abstractNumId w:val="29"/>
  </w:num>
  <w:num w:numId="12" w16cid:durableId="101346968">
    <w:abstractNumId w:val="20"/>
  </w:num>
  <w:num w:numId="13" w16cid:durableId="1498879922">
    <w:abstractNumId w:val="14"/>
  </w:num>
  <w:num w:numId="14" w16cid:durableId="1240602637">
    <w:abstractNumId w:val="6"/>
  </w:num>
  <w:num w:numId="15" w16cid:durableId="364598802">
    <w:abstractNumId w:val="28"/>
  </w:num>
  <w:num w:numId="16" w16cid:durableId="942881377">
    <w:abstractNumId w:val="27"/>
  </w:num>
  <w:num w:numId="17" w16cid:durableId="1788423229">
    <w:abstractNumId w:val="24"/>
  </w:num>
  <w:num w:numId="18" w16cid:durableId="280652344">
    <w:abstractNumId w:val="23"/>
  </w:num>
  <w:num w:numId="19" w16cid:durableId="1655447394">
    <w:abstractNumId w:val="8"/>
  </w:num>
  <w:num w:numId="20" w16cid:durableId="1461849499">
    <w:abstractNumId w:val="25"/>
  </w:num>
  <w:num w:numId="21" w16cid:durableId="991375771">
    <w:abstractNumId w:val="12"/>
  </w:num>
  <w:num w:numId="22" w16cid:durableId="119032270">
    <w:abstractNumId w:val="15"/>
  </w:num>
  <w:num w:numId="23" w16cid:durableId="160321501">
    <w:abstractNumId w:val="18"/>
  </w:num>
  <w:num w:numId="24" w16cid:durableId="1268270102">
    <w:abstractNumId w:val="3"/>
  </w:num>
  <w:num w:numId="25" w16cid:durableId="525412869">
    <w:abstractNumId w:val="10"/>
  </w:num>
  <w:num w:numId="26" w16cid:durableId="1466311847">
    <w:abstractNumId w:val="9"/>
  </w:num>
  <w:num w:numId="27" w16cid:durableId="1652634853">
    <w:abstractNumId w:val="17"/>
  </w:num>
  <w:num w:numId="28" w16cid:durableId="1695888917">
    <w:abstractNumId w:val="1"/>
  </w:num>
  <w:num w:numId="29" w16cid:durableId="1730760745">
    <w:abstractNumId w:val="0"/>
  </w:num>
  <w:num w:numId="30" w16cid:durableId="4699051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3FD"/>
    <w:rsid w:val="00002820"/>
    <w:rsid w:val="00011D63"/>
    <w:rsid w:val="0001259B"/>
    <w:rsid w:val="000204EA"/>
    <w:rsid w:val="00024F85"/>
    <w:rsid w:val="000279C1"/>
    <w:rsid w:val="0003333D"/>
    <w:rsid w:val="0003597C"/>
    <w:rsid w:val="00036D1A"/>
    <w:rsid w:val="00037724"/>
    <w:rsid w:val="000414C6"/>
    <w:rsid w:val="00043D53"/>
    <w:rsid w:val="00044A33"/>
    <w:rsid w:val="000511B5"/>
    <w:rsid w:val="00061410"/>
    <w:rsid w:val="00062D58"/>
    <w:rsid w:val="00064022"/>
    <w:rsid w:val="0006485D"/>
    <w:rsid w:val="000739B9"/>
    <w:rsid w:val="0008163F"/>
    <w:rsid w:val="00083664"/>
    <w:rsid w:val="00085923"/>
    <w:rsid w:val="00085D0F"/>
    <w:rsid w:val="00087EC5"/>
    <w:rsid w:val="000902EC"/>
    <w:rsid w:val="000952E4"/>
    <w:rsid w:val="0009671B"/>
    <w:rsid w:val="0009741D"/>
    <w:rsid w:val="000A461D"/>
    <w:rsid w:val="000A6258"/>
    <w:rsid w:val="000A7DB9"/>
    <w:rsid w:val="000B1DDF"/>
    <w:rsid w:val="000C46ED"/>
    <w:rsid w:val="000C4B51"/>
    <w:rsid w:val="000C74B1"/>
    <w:rsid w:val="000C7ACB"/>
    <w:rsid w:val="000D14F4"/>
    <w:rsid w:val="000D2D3F"/>
    <w:rsid w:val="000D4B1D"/>
    <w:rsid w:val="000D5518"/>
    <w:rsid w:val="000D601E"/>
    <w:rsid w:val="000D70BB"/>
    <w:rsid w:val="000E3686"/>
    <w:rsid w:val="000F12AE"/>
    <w:rsid w:val="000F4C9D"/>
    <w:rsid w:val="00107801"/>
    <w:rsid w:val="00126087"/>
    <w:rsid w:val="001308D2"/>
    <w:rsid w:val="00144916"/>
    <w:rsid w:val="001461BF"/>
    <w:rsid w:val="00153B21"/>
    <w:rsid w:val="00156804"/>
    <w:rsid w:val="00161382"/>
    <w:rsid w:val="00163C9D"/>
    <w:rsid w:val="00165AFC"/>
    <w:rsid w:val="00171697"/>
    <w:rsid w:val="00175C5F"/>
    <w:rsid w:val="00176B59"/>
    <w:rsid w:val="00180C02"/>
    <w:rsid w:val="00195B4E"/>
    <w:rsid w:val="00197A75"/>
    <w:rsid w:val="001A3F9A"/>
    <w:rsid w:val="001A47B6"/>
    <w:rsid w:val="001B2DB4"/>
    <w:rsid w:val="001B3F23"/>
    <w:rsid w:val="001C0DBE"/>
    <w:rsid w:val="001C41CC"/>
    <w:rsid w:val="001C438A"/>
    <w:rsid w:val="001D02E4"/>
    <w:rsid w:val="001E43BA"/>
    <w:rsid w:val="001E69E1"/>
    <w:rsid w:val="001E7CE5"/>
    <w:rsid w:val="001F1681"/>
    <w:rsid w:val="001F5573"/>
    <w:rsid w:val="001F7DBB"/>
    <w:rsid w:val="0020020F"/>
    <w:rsid w:val="00206314"/>
    <w:rsid w:val="0021300F"/>
    <w:rsid w:val="00214453"/>
    <w:rsid w:val="00215260"/>
    <w:rsid w:val="00221388"/>
    <w:rsid w:val="00224383"/>
    <w:rsid w:val="00224708"/>
    <w:rsid w:val="00225920"/>
    <w:rsid w:val="00226690"/>
    <w:rsid w:val="00235AEF"/>
    <w:rsid w:val="002546EC"/>
    <w:rsid w:val="00262353"/>
    <w:rsid w:val="002626E2"/>
    <w:rsid w:val="00267080"/>
    <w:rsid w:val="002724A0"/>
    <w:rsid w:val="002726B6"/>
    <w:rsid w:val="00275745"/>
    <w:rsid w:val="002762C3"/>
    <w:rsid w:val="002813A4"/>
    <w:rsid w:val="00285272"/>
    <w:rsid w:val="0029349E"/>
    <w:rsid w:val="002960DE"/>
    <w:rsid w:val="00296314"/>
    <w:rsid w:val="002979A0"/>
    <w:rsid w:val="00297B3A"/>
    <w:rsid w:val="002A1F00"/>
    <w:rsid w:val="002A2037"/>
    <w:rsid w:val="002A4AC2"/>
    <w:rsid w:val="002A6A28"/>
    <w:rsid w:val="002A6BD7"/>
    <w:rsid w:val="002C39A3"/>
    <w:rsid w:val="002C4A6A"/>
    <w:rsid w:val="002E151D"/>
    <w:rsid w:val="002E2FE8"/>
    <w:rsid w:val="002E34FA"/>
    <w:rsid w:val="002E698D"/>
    <w:rsid w:val="002E713A"/>
    <w:rsid w:val="002F0848"/>
    <w:rsid w:val="002F27FC"/>
    <w:rsid w:val="00302A32"/>
    <w:rsid w:val="00302EF0"/>
    <w:rsid w:val="0032651E"/>
    <w:rsid w:val="00335271"/>
    <w:rsid w:val="003370B0"/>
    <w:rsid w:val="003512A5"/>
    <w:rsid w:val="00351B87"/>
    <w:rsid w:val="003552C6"/>
    <w:rsid w:val="00364FF7"/>
    <w:rsid w:val="00371370"/>
    <w:rsid w:val="00374520"/>
    <w:rsid w:val="00375F43"/>
    <w:rsid w:val="003764BD"/>
    <w:rsid w:val="003878E0"/>
    <w:rsid w:val="0039219B"/>
    <w:rsid w:val="003932BB"/>
    <w:rsid w:val="00393B9C"/>
    <w:rsid w:val="00394925"/>
    <w:rsid w:val="00394DF4"/>
    <w:rsid w:val="003A17BE"/>
    <w:rsid w:val="003A6CB7"/>
    <w:rsid w:val="003B21BF"/>
    <w:rsid w:val="003B5A42"/>
    <w:rsid w:val="003B6933"/>
    <w:rsid w:val="003B771B"/>
    <w:rsid w:val="003C7C69"/>
    <w:rsid w:val="003D160E"/>
    <w:rsid w:val="003D2D72"/>
    <w:rsid w:val="003D39EC"/>
    <w:rsid w:val="003D5911"/>
    <w:rsid w:val="003E07DC"/>
    <w:rsid w:val="003E2A35"/>
    <w:rsid w:val="003E5254"/>
    <w:rsid w:val="003F791D"/>
    <w:rsid w:val="00400675"/>
    <w:rsid w:val="00400CE4"/>
    <w:rsid w:val="0040473C"/>
    <w:rsid w:val="00415072"/>
    <w:rsid w:val="0042033C"/>
    <w:rsid w:val="00421B26"/>
    <w:rsid w:val="004316C6"/>
    <w:rsid w:val="004330BD"/>
    <w:rsid w:val="00436EE2"/>
    <w:rsid w:val="0044511B"/>
    <w:rsid w:val="004451BD"/>
    <w:rsid w:val="0044690C"/>
    <w:rsid w:val="00452856"/>
    <w:rsid w:val="00456AE5"/>
    <w:rsid w:val="004604FD"/>
    <w:rsid w:val="00463C29"/>
    <w:rsid w:val="004722A8"/>
    <w:rsid w:val="00472361"/>
    <w:rsid w:val="00472570"/>
    <w:rsid w:val="00473097"/>
    <w:rsid w:val="004756D5"/>
    <w:rsid w:val="0048226D"/>
    <w:rsid w:val="00482732"/>
    <w:rsid w:val="0048596F"/>
    <w:rsid w:val="00493F60"/>
    <w:rsid w:val="00496E21"/>
    <w:rsid w:val="004A520B"/>
    <w:rsid w:val="004A733A"/>
    <w:rsid w:val="004B4DD8"/>
    <w:rsid w:val="004C6583"/>
    <w:rsid w:val="004D0AB5"/>
    <w:rsid w:val="004D1A96"/>
    <w:rsid w:val="004D6203"/>
    <w:rsid w:val="004D682E"/>
    <w:rsid w:val="004E242B"/>
    <w:rsid w:val="004E495C"/>
    <w:rsid w:val="004E6D0B"/>
    <w:rsid w:val="004F053D"/>
    <w:rsid w:val="004F1215"/>
    <w:rsid w:val="004F477B"/>
    <w:rsid w:val="004F50EB"/>
    <w:rsid w:val="00501B07"/>
    <w:rsid w:val="00501C33"/>
    <w:rsid w:val="005068EF"/>
    <w:rsid w:val="00521C1D"/>
    <w:rsid w:val="00521F2F"/>
    <w:rsid w:val="005263AF"/>
    <w:rsid w:val="00533F6E"/>
    <w:rsid w:val="005344CC"/>
    <w:rsid w:val="00534577"/>
    <w:rsid w:val="00544039"/>
    <w:rsid w:val="00547BC4"/>
    <w:rsid w:val="00554FBB"/>
    <w:rsid w:val="005556DB"/>
    <w:rsid w:val="0055683B"/>
    <w:rsid w:val="005642C7"/>
    <w:rsid w:val="00577D45"/>
    <w:rsid w:val="00584FC9"/>
    <w:rsid w:val="00587765"/>
    <w:rsid w:val="00593CDB"/>
    <w:rsid w:val="005A107A"/>
    <w:rsid w:val="005A173B"/>
    <w:rsid w:val="005A1CD2"/>
    <w:rsid w:val="005A43A4"/>
    <w:rsid w:val="005A4830"/>
    <w:rsid w:val="005A7965"/>
    <w:rsid w:val="005B0382"/>
    <w:rsid w:val="005B267F"/>
    <w:rsid w:val="005B320F"/>
    <w:rsid w:val="005B6840"/>
    <w:rsid w:val="005B783D"/>
    <w:rsid w:val="005C05FA"/>
    <w:rsid w:val="005C11F8"/>
    <w:rsid w:val="005C38DD"/>
    <w:rsid w:val="005C7571"/>
    <w:rsid w:val="005E2A20"/>
    <w:rsid w:val="005E4BCE"/>
    <w:rsid w:val="005E7643"/>
    <w:rsid w:val="005F07BC"/>
    <w:rsid w:val="005F28E7"/>
    <w:rsid w:val="005F7A89"/>
    <w:rsid w:val="00602E53"/>
    <w:rsid w:val="00606409"/>
    <w:rsid w:val="006071D8"/>
    <w:rsid w:val="006130A3"/>
    <w:rsid w:val="00616C24"/>
    <w:rsid w:val="00616CB8"/>
    <w:rsid w:val="00622EBE"/>
    <w:rsid w:val="0062594D"/>
    <w:rsid w:val="00625C37"/>
    <w:rsid w:val="006358D0"/>
    <w:rsid w:val="00636D69"/>
    <w:rsid w:val="00640BC3"/>
    <w:rsid w:val="0064340B"/>
    <w:rsid w:val="006502EE"/>
    <w:rsid w:val="00653EA9"/>
    <w:rsid w:val="00653F8C"/>
    <w:rsid w:val="00655F4C"/>
    <w:rsid w:val="0065604D"/>
    <w:rsid w:val="00663E9D"/>
    <w:rsid w:val="00671484"/>
    <w:rsid w:val="0067223C"/>
    <w:rsid w:val="00676DC5"/>
    <w:rsid w:val="00682877"/>
    <w:rsid w:val="0068657D"/>
    <w:rsid w:val="00686904"/>
    <w:rsid w:val="0068728A"/>
    <w:rsid w:val="00691FC1"/>
    <w:rsid w:val="0069735E"/>
    <w:rsid w:val="006B3139"/>
    <w:rsid w:val="006B5843"/>
    <w:rsid w:val="006C1945"/>
    <w:rsid w:val="006C3F28"/>
    <w:rsid w:val="006C6E81"/>
    <w:rsid w:val="006D033F"/>
    <w:rsid w:val="006D1287"/>
    <w:rsid w:val="006D6C5C"/>
    <w:rsid w:val="006E1812"/>
    <w:rsid w:val="006E6D9E"/>
    <w:rsid w:val="006F35F0"/>
    <w:rsid w:val="006F527D"/>
    <w:rsid w:val="006F5F15"/>
    <w:rsid w:val="006F6076"/>
    <w:rsid w:val="006F70AB"/>
    <w:rsid w:val="007024F0"/>
    <w:rsid w:val="00704ABF"/>
    <w:rsid w:val="007064E7"/>
    <w:rsid w:val="0071206A"/>
    <w:rsid w:val="00715A69"/>
    <w:rsid w:val="00723745"/>
    <w:rsid w:val="00727984"/>
    <w:rsid w:val="007311C3"/>
    <w:rsid w:val="00731D1B"/>
    <w:rsid w:val="00740133"/>
    <w:rsid w:val="00745234"/>
    <w:rsid w:val="007452B5"/>
    <w:rsid w:val="007475CB"/>
    <w:rsid w:val="00751B16"/>
    <w:rsid w:val="00754382"/>
    <w:rsid w:val="00755F1D"/>
    <w:rsid w:val="007610A6"/>
    <w:rsid w:val="00762651"/>
    <w:rsid w:val="0076435C"/>
    <w:rsid w:val="00767694"/>
    <w:rsid w:val="00767A80"/>
    <w:rsid w:val="00775684"/>
    <w:rsid w:val="00775AC9"/>
    <w:rsid w:val="00783085"/>
    <w:rsid w:val="00784670"/>
    <w:rsid w:val="007853E5"/>
    <w:rsid w:val="007857F6"/>
    <w:rsid w:val="00787394"/>
    <w:rsid w:val="00792C05"/>
    <w:rsid w:val="00792EAF"/>
    <w:rsid w:val="007A1C13"/>
    <w:rsid w:val="007A59C7"/>
    <w:rsid w:val="007B091A"/>
    <w:rsid w:val="007C3248"/>
    <w:rsid w:val="007C4782"/>
    <w:rsid w:val="007D0855"/>
    <w:rsid w:val="007D4A98"/>
    <w:rsid w:val="007E2FFC"/>
    <w:rsid w:val="007E54BA"/>
    <w:rsid w:val="007F7BE8"/>
    <w:rsid w:val="00801DEA"/>
    <w:rsid w:val="0080531F"/>
    <w:rsid w:val="00805A28"/>
    <w:rsid w:val="00805BD3"/>
    <w:rsid w:val="00806A00"/>
    <w:rsid w:val="008118E2"/>
    <w:rsid w:val="00811D6E"/>
    <w:rsid w:val="008163AD"/>
    <w:rsid w:val="00816F29"/>
    <w:rsid w:val="008231F3"/>
    <w:rsid w:val="00824A9F"/>
    <w:rsid w:val="00824CCF"/>
    <w:rsid w:val="00826DF1"/>
    <w:rsid w:val="00832F8B"/>
    <w:rsid w:val="0083525B"/>
    <w:rsid w:val="00850C52"/>
    <w:rsid w:val="00855D9F"/>
    <w:rsid w:val="008617C5"/>
    <w:rsid w:val="00865B86"/>
    <w:rsid w:val="00870EF3"/>
    <w:rsid w:val="0087259A"/>
    <w:rsid w:val="00875947"/>
    <w:rsid w:val="00882921"/>
    <w:rsid w:val="008873C4"/>
    <w:rsid w:val="0089334D"/>
    <w:rsid w:val="008950BF"/>
    <w:rsid w:val="008967D9"/>
    <w:rsid w:val="008B125A"/>
    <w:rsid w:val="008B3F37"/>
    <w:rsid w:val="008C0311"/>
    <w:rsid w:val="008C5C49"/>
    <w:rsid w:val="008D1401"/>
    <w:rsid w:val="008D6E73"/>
    <w:rsid w:val="008D7239"/>
    <w:rsid w:val="008E323D"/>
    <w:rsid w:val="008E52D6"/>
    <w:rsid w:val="008F01FF"/>
    <w:rsid w:val="008F119C"/>
    <w:rsid w:val="00900382"/>
    <w:rsid w:val="00904405"/>
    <w:rsid w:val="009070C7"/>
    <w:rsid w:val="009174CC"/>
    <w:rsid w:val="00920819"/>
    <w:rsid w:val="0092494B"/>
    <w:rsid w:val="009308D3"/>
    <w:rsid w:val="00931209"/>
    <w:rsid w:val="009313B2"/>
    <w:rsid w:val="00933EF6"/>
    <w:rsid w:val="00935F52"/>
    <w:rsid w:val="00936799"/>
    <w:rsid w:val="00936BCC"/>
    <w:rsid w:val="00955136"/>
    <w:rsid w:val="009551C1"/>
    <w:rsid w:val="0095596D"/>
    <w:rsid w:val="009577A0"/>
    <w:rsid w:val="00965D2C"/>
    <w:rsid w:val="00970B72"/>
    <w:rsid w:val="00974187"/>
    <w:rsid w:val="009815B4"/>
    <w:rsid w:val="00992240"/>
    <w:rsid w:val="00995C63"/>
    <w:rsid w:val="00996BAE"/>
    <w:rsid w:val="009A074B"/>
    <w:rsid w:val="009A4290"/>
    <w:rsid w:val="009A4FD0"/>
    <w:rsid w:val="009B14AE"/>
    <w:rsid w:val="009B1EC7"/>
    <w:rsid w:val="009B68CA"/>
    <w:rsid w:val="009C2311"/>
    <w:rsid w:val="009C46F5"/>
    <w:rsid w:val="009D2041"/>
    <w:rsid w:val="009D2A66"/>
    <w:rsid w:val="009D3014"/>
    <w:rsid w:val="009D6C44"/>
    <w:rsid w:val="009E5DD3"/>
    <w:rsid w:val="009F26EA"/>
    <w:rsid w:val="009F2ADC"/>
    <w:rsid w:val="009F6C84"/>
    <w:rsid w:val="00A0069F"/>
    <w:rsid w:val="00A01F1F"/>
    <w:rsid w:val="00A05627"/>
    <w:rsid w:val="00A12021"/>
    <w:rsid w:val="00A17B23"/>
    <w:rsid w:val="00A21424"/>
    <w:rsid w:val="00A21757"/>
    <w:rsid w:val="00A27F9C"/>
    <w:rsid w:val="00A43D83"/>
    <w:rsid w:val="00A46020"/>
    <w:rsid w:val="00A533CE"/>
    <w:rsid w:val="00A53742"/>
    <w:rsid w:val="00A542EC"/>
    <w:rsid w:val="00A54939"/>
    <w:rsid w:val="00A61D02"/>
    <w:rsid w:val="00A65C6E"/>
    <w:rsid w:val="00A73016"/>
    <w:rsid w:val="00A7398E"/>
    <w:rsid w:val="00A771AC"/>
    <w:rsid w:val="00A8202C"/>
    <w:rsid w:val="00A911E6"/>
    <w:rsid w:val="00A9201B"/>
    <w:rsid w:val="00A93D48"/>
    <w:rsid w:val="00A943FB"/>
    <w:rsid w:val="00AA3174"/>
    <w:rsid w:val="00AA6AF8"/>
    <w:rsid w:val="00AA6DFF"/>
    <w:rsid w:val="00AB4B25"/>
    <w:rsid w:val="00AB521D"/>
    <w:rsid w:val="00AB63CB"/>
    <w:rsid w:val="00AB6F68"/>
    <w:rsid w:val="00AB7516"/>
    <w:rsid w:val="00AD1886"/>
    <w:rsid w:val="00AD610A"/>
    <w:rsid w:val="00AD7DFA"/>
    <w:rsid w:val="00AE0C7D"/>
    <w:rsid w:val="00AE2CAB"/>
    <w:rsid w:val="00AE4D11"/>
    <w:rsid w:val="00AE5564"/>
    <w:rsid w:val="00AE67AD"/>
    <w:rsid w:val="00AF19BA"/>
    <w:rsid w:val="00AF27FE"/>
    <w:rsid w:val="00AF5152"/>
    <w:rsid w:val="00B01545"/>
    <w:rsid w:val="00B03DAA"/>
    <w:rsid w:val="00B132C6"/>
    <w:rsid w:val="00B13570"/>
    <w:rsid w:val="00B14CAB"/>
    <w:rsid w:val="00B16D88"/>
    <w:rsid w:val="00B360E0"/>
    <w:rsid w:val="00B501AA"/>
    <w:rsid w:val="00B5074F"/>
    <w:rsid w:val="00B529A3"/>
    <w:rsid w:val="00B64BA1"/>
    <w:rsid w:val="00B65FCB"/>
    <w:rsid w:val="00B808EE"/>
    <w:rsid w:val="00B82667"/>
    <w:rsid w:val="00B83687"/>
    <w:rsid w:val="00B8433D"/>
    <w:rsid w:val="00B91B7E"/>
    <w:rsid w:val="00BA3523"/>
    <w:rsid w:val="00BA6B92"/>
    <w:rsid w:val="00BB1F19"/>
    <w:rsid w:val="00BB7212"/>
    <w:rsid w:val="00BC49B0"/>
    <w:rsid w:val="00BD2527"/>
    <w:rsid w:val="00BD3D30"/>
    <w:rsid w:val="00BD5187"/>
    <w:rsid w:val="00BD5A6B"/>
    <w:rsid w:val="00BE1093"/>
    <w:rsid w:val="00BE4E00"/>
    <w:rsid w:val="00BE51A4"/>
    <w:rsid w:val="00BE592C"/>
    <w:rsid w:val="00BE5EB9"/>
    <w:rsid w:val="00BF2C1B"/>
    <w:rsid w:val="00BF4844"/>
    <w:rsid w:val="00C04EAB"/>
    <w:rsid w:val="00C06DE1"/>
    <w:rsid w:val="00C11C29"/>
    <w:rsid w:val="00C153A0"/>
    <w:rsid w:val="00C23440"/>
    <w:rsid w:val="00C257B4"/>
    <w:rsid w:val="00C34DC6"/>
    <w:rsid w:val="00C34F38"/>
    <w:rsid w:val="00C42BAC"/>
    <w:rsid w:val="00C43FA7"/>
    <w:rsid w:val="00C64F14"/>
    <w:rsid w:val="00C766D5"/>
    <w:rsid w:val="00C77035"/>
    <w:rsid w:val="00C82E36"/>
    <w:rsid w:val="00C861BE"/>
    <w:rsid w:val="00C93266"/>
    <w:rsid w:val="00C94EA9"/>
    <w:rsid w:val="00CA5408"/>
    <w:rsid w:val="00CA688A"/>
    <w:rsid w:val="00CB2ABF"/>
    <w:rsid w:val="00CB5717"/>
    <w:rsid w:val="00CB78D6"/>
    <w:rsid w:val="00CD1FFF"/>
    <w:rsid w:val="00CD4267"/>
    <w:rsid w:val="00CD505A"/>
    <w:rsid w:val="00CE0F48"/>
    <w:rsid w:val="00CF040D"/>
    <w:rsid w:val="00CF2E35"/>
    <w:rsid w:val="00CF4CF8"/>
    <w:rsid w:val="00CF5FBD"/>
    <w:rsid w:val="00CF6FC7"/>
    <w:rsid w:val="00D01ED1"/>
    <w:rsid w:val="00D02C30"/>
    <w:rsid w:val="00D040DD"/>
    <w:rsid w:val="00D1226C"/>
    <w:rsid w:val="00D126CB"/>
    <w:rsid w:val="00D12B6B"/>
    <w:rsid w:val="00D24001"/>
    <w:rsid w:val="00D429E8"/>
    <w:rsid w:val="00D46BD1"/>
    <w:rsid w:val="00D511DE"/>
    <w:rsid w:val="00D522BA"/>
    <w:rsid w:val="00D574C2"/>
    <w:rsid w:val="00D63E21"/>
    <w:rsid w:val="00D66874"/>
    <w:rsid w:val="00D70BD9"/>
    <w:rsid w:val="00D715D0"/>
    <w:rsid w:val="00D87037"/>
    <w:rsid w:val="00D919F8"/>
    <w:rsid w:val="00D91D24"/>
    <w:rsid w:val="00D92634"/>
    <w:rsid w:val="00D93A8F"/>
    <w:rsid w:val="00D95193"/>
    <w:rsid w:val="00DA12BF"/>
    <w:rsid w:val="00DA260D"/>
    <w:rsid w:val="00DA279C"/>
    <w:rsid w:val="00DA653B"/>
    <w:rsid w:val="00DB25C7"/>
    <w:rsid w:val="00DB2D87"/>
    <w:rsid w:val="00DB3653"/>
    <w:rsid w:val="00DB4B13"/>
    <w:rsid w:val="00DB6CB8"/>
    <w:rsid w:val="00DB6D98"/>
    <w:rsid w:val="00DB70B6"/>
    <w:rsid w:val="00DB786E"/>
    <w:rsid w:val="00DD5769"/>
    <w:rsid w:val="00DD6450"/>
    <w:rsid w:val="00DE122C"/>
    <w:rsid w:val="00DE6102"/>
    <w:rsid w:val="00DF06B9"/>
    <w:rsid w:val="00DF23FD"/>
    <w:rsid w:val="00E05E0B"/>
    <w:rsid w:val="00E0775F"/>
    <w:rsid w:val="00E104B4"/>
    <w:rsid w:val="00E1695E"/>
    <w:rsid w:val="00E204C0"/>
    <w:rsid w:val="00E24F39"/>
    <w:rsid w:val="00E25C35"/>
    <w:rsid w:val="00E30661"/>
    <w:rsid w:val="00E354A3"/>
    <w:rsid w:val="00E35651"/>
    <w:rsid w:val="00E4338E"/>
    <w:rsid w:val="00E50DC6"/>
    <w:rsid w:val="00E55D83"/>
    <w:rsid w:val="00E566F1"/>
    <w:rsid w:val="00E60180"/>
    <w:rsid w:val="00E61697"/>
    <w:rsid w:val="00E73068"/>
    <w:rsid w:val="00E735BB"/>
    <w:rsid w:val="00E832F8"/>
    <w:rsid w:val="00E879F0"/>
    <w:rsid w:val="00E90AF3"/>
    <w:rsid w:val="00EA1334"/>
    <w:rsid w:val="00EA570C"/>
    <w:rsid w:val="00EA6F91"/>
    <w:rsid w:val="00EB29DC"/>
    <w:rsid w:val="00EB4D7F"/>
    <w:rsid w:val="00EB63AD"/>
    <w:rsid w:val="00EC1409"/>
    <w:rsid w:val="00EC3923"/>
    <w:rsid w:val="00EC3ABE"/>
    <w:rsid w:val="00ED1D98"/>
    <w:rsid w:val="00ED3B42"/>
    <w:rsid w:val="00EE37BB"/>
    <w:rsid w:val="00EE4819"/>
    <w:rsid w:val="00EE48F1"/>
    <w:rsid w:val="00EE6661"/>
    <w:rsid w:val="00EE6C3F"/>
    <w:rsid w:val="00EE6D3A"/>
    <w:rsid w:val="00EF120F"/>
    <w:rsid w:val="00EF18CC"/>
    <w:rsid w:val="00EF3108"/>
    <w:rsid w:val="00EF337F"/>
    <w:rsid w:val="00EF4C48"/>
    <w:rsid w:val="00EF592E"/>
    <w:rsid w:val="00F05009"/>
    <w:rsid w:val="00F06E16"/>
    <w:rsid w:val="00F10959"/>
    <w:rsid w:val="00F1411B"/>
    <w:rsid w:val="00F17DF7"/>
    <w:rsid w:val="00F24DE1"/>
    <w:rsid w:val="00F34BED"/>
    <w:rsid w:val="00F34D69"/>
    <w:rsid w:val="00F415F6"/>
    <w:rsid w:val="00F433EB"/>
    <w:rsid w:val="00F47DAE"/>
    <w:rsid w:val="00F53000"/>
    <w:rsid w:val="00F54541"/>
    <w:rsid w:val="00F63B27"/>
    <w:rsid w:val="00F76CE6"/>
    <w:rsid w:val="00F77237"/>
    <w:rsid w:val="00F774C0"/>
    <w:rsid w:val="00F8576D"/>
    <w:rsid w:val="00F95A3C"/>
    <w:rsid w:val="00F96775"/>
    <w:rsid w:val="00FA29D9"/>
    <w:rsid w:val="00FA3773"/>
    <w:rsid w:val="00FA6DED"/>
    <w:rsid w:val="00FB005C"/>
    <w:rsid w:val="00FB087E"/>
    <w:rsid w:val="00FB7CE6"/>
    <w:rsid w:val="00FC6E73"/>
    <w:rsid w:val="00FD1FBE"/>
    <w:rsid w:val="00FD2C00"/>
    <w:rsid w:val="00FD6B43"/>
    <w:rsid w:val="00FE0D74"/>
    <w:rsid w:val="00FE1B4F"/>
    <w:rsid w:val="00FE307B"/>
    <w:rsid w:val="00FF3AF4"/>
    <w:rsid w:val="00FF48CE"/>
    <w:rsid w:val="00FF53A9"/>
    <w:rsid w:val="00FF56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5A8A39"/>
  <w15:docId w15:val="{5B11B90E-0604-484B-BFCA-FF296C431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26E2"/>
  </w:style>
  <w:style w:type="paragraph" w:styleId="Heading1">
    <w:name w:val="heading 1"/>
    <w:basedOn w:val="Normal"/>
    <w:next w:val="Normal"/>
    <w:link w:val="Heading1Char"/>
    <w:qFormat/>
    <w:rsid w:val="009A4290"/>
    <w:pPr>
      <w:keepNext/>
      <w:spacing w:after="280"/>
      <w:jc w:val="both"/>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F23FD"/>
    <w:rPr>
      <w:i/>
      <w:iCs/>
    </w:rPr>
  </w:style>
  <w:style w:type="character" w:styleId="Hyperlink">
    <w:name w:val="Hyperlink"/>
    <w:basedOn w:val="DefaultParagraphFont"/>
    <w:uiPriority w:val="99"/>
    <w:unhideWhenUsed/>
    <w:rsid w:val="00DF23FD"/>
    <w:rPr>
      <w:color w:val="0000FF"/>
      <w:u w:val="single"/>
    </w:rPr>
  </w:style>
  <w:style w:type="character" w:styleId="Strong">
    <w:name w:val="Strong"/>
    <w:basedOn w:val="DefaultParagraphFont"/>
    <w:uiPriority w:val="22"/>
    <w:qFormat/>
    <w:rsid w:val="00DF23FD"/>
    <w:rPr>
      <w:b/>
      <w:bCs/>
    </w:rPr>
  </w:style>
  <w:style w:type="paragraph" w:styleId="ListParagraph">
    <w:name w:val="List Paragraph"/>
    <w:basedOn w:val="Normal"/>
    <w:uiPriority w:val="34"/>
    <w:qFormat/>
    <w:rsid w:val="00DF23FD"/>
    <w:pPr>
      <w:ind w:left="720"/>
      <w:contextualSpacing/>
    </w:pPr>
  </w:style>
  <w:style w:type="table" w:styleId="TableGrid">
    <w:name w:val="Table Grid"/>
    <w:basedOn w:val="TableNormal"/>
    <w:uiPriority w:val="59"/>
    <w:rsid w:val="00DF23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95C63"/>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rsid w:val="009A4290"/>
    <w:rPr>
      <w:b/>
      <w:sz w:val="28"/>
    </w:rPr>
  </w:style>
  <w:style w:type="character" w:styleId="FollowedHyperlink">
    <w:name w:val="FollowedHyperlink"/>
    <w:basedOn w:val="DefaultParagraphFont"/>
    <w:uiPriority w:val="99"/>
    <w:semiHidden/>
    <w:unhideWhenUsed/>
    <w:rsid w:val="00CD4267"/>
    <w:rPr>
      <w:color w:val="800080" w:themeColor="followedHyperlink"/>
      <w:u w:val="single"/>
    </w:rPr>
  </w:style>
  <w:style w:type="paragraph" w:styleId="PlainText">
    <w:name w:val="Plain Text"/>
    <w:basedOn w:val="Normal"/>
    <w:link w:val="PlainTextChar"/>
    <w:uiPriority w:val="99"/>
    <w:semiHidden/>
    <w:unhideWhenUsed/>
    <w:rsid w:val="004F1215"/>
    <w:pPr>
      <w:spacing w:after="0" w:line="240" w:lineRule="auto"/>
    </w:pPr>
    <w:rPr>
      <w:rFonts w:ascii="Calibri" w:hAnsi="Calibri" w:cs="Calibri"/>
    </w:rPr>
  </w:style>
  <w:style w:type="character" w:customStyle="1" w:styleId="PlainTextChar">
    <w:name w:val="Plain Text Char"/>
    <w:basedOn w:val="DefaultParagraphFont"/>
    <w:link w:val="PlainText"/>
    <w:uiPriority w:val="99"/>
    <w:semiHidden/>
    <w:rsid w:val="004F1215"/>
    <w:rPr>
      <w:rFonts w:ascii="Calibri" w:hAnsi="Calibri" w:cs="Calibri"/>
    </w:rPr>
  </w:style>
  <w:style w:type="paragraph" w:styleId="Header">
    <w:name w:val="header"/>
    <w:basedOn w:val="Normal"/>
    <w:link w:val="HeaderChar"/>
    <w:unhideWhenUsed/>
    <w:rsid w:val="00F8576D"/>
    <w:pPr>
      <w:tabs>
        <w:tab w:val="center" w:pos="4680"/>
        <w:tab w:val="right" w:pos="9360"/>
      </w:tabs>
      <w:spacing w:after="0" w:line="240" w:lineRule="auto"/>
    </w:pPr>
  </w:style>
  <w:style w:type="character" w:customStyle="1" w:styleId="HeaderChar">
    <w:name w:val="Header Char"/>
    <w:basedOn w:val="DefaultParagraphFont"/>
    <w:link w:val="Header"/>
    <w:rsid w:val="00F8576D"/>
  </w:style>
  <w:style w:type="paragraph" w:styleId="Footer">
    <w:name w:val="footer"/>
    <w:basedOn w:val="Normal"/>
    <w:link w:val="FooterChar"/>
    <w:unhideWhenUsed/>
    <w:rsid w:val="00F857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576D"/>
  </w:style>
  <w:style w:type="character" w:styleId="PageNumber">
    <w:name w:val="page number"/>
    <w:basedOn w:val="DefaultParagraphFont"/>
    <w:rsid w:val="00EF120F"/>
  </w:style>
  <w:style w:type="paragraph" w:styleId="BodyText2">
    <w:name w:val="Body Text 2"/>
    <w:basedOn w:val="Normal"/>
    <w:link w:val="BodyText2Char"/>
    <w:rsid w:val="00931209"/>
    <w:pPr>
      <w:spacing w:after="0" w:line="240" w:lineRule="auto"/>
      <w:jc w:val="both"/>
    </w:pPr>
    <w:rPr>
      <w:rFonts w:ascii="Times New Roman" w:eastAsia="Times New Roman" w:hAnsi="Times New Roman" w:cs="Times New Roman"/>
      <w:b/>
      <w:bCs/>
      <w:szCs w:val="20"/>
    </w:rPr>
  </w:style>
  <w:style w:type="character" w:customStyle="1" w:styleId="BodyText2Char">
    <w:name w:val="Body Text 2 Char"/>
    <w:basedOn w:val="DefaultParagraphFont"/>
    <w:link w:val="BodyText2"/>
    <w:rsid w:val="00931209"/>
    <w:rPr>
      <w:rFonts w:ascii="Times New Roman" w:eastAsia="Times New Roman" w:hAnsi="Times New Roman" w:cs="Times New Roman"/>
      <w:b/>
      <w:bCs/>
      <w:szCs w:val="20"/>
    </w:rPr>
  </w:style>
  <w:style w:type="character" w:styleId="CommentReference">
    <w:name w:val="annotation reference"/>
    <w:basedOn w:val="DefaultParagraphFont"/>
    <w:uiPriority w:val="99"/>
    <w:semiHidden/>
    <w:unhideWhenUsed/>
    <w:rsid w:val="001F1681"/>
    <w:rPr>
      <w:sz w:val="16"/>
      <w:szCs w:val="16"/>
    </w:rPr>
  </w:style>
  <w:style w:type="paragraph" w:styleId="CommentText">
    <w:name w:val="annotation text"/>
    <w:basedOn w:val="Normal"/>
    <w:link w:val="CommentTextChar"/>
    <w:uiPriority w:val="99"/>
    <w:semiHidden/>
    <w:unhideWhenUsed/>
    <w:rsid w:val="001F1681"/>
    <w:pPr>
      <w:spacing w:line="240" w:lineRule="auto"/>
    </w:pPr>
    <w:rPr>
      <w:sz w:val="20"/>
      <w:szCs w:val="20"/>
    </w:rPr>
  </w:style>
  <w:style w:type="character" w:customStyle="1" w:styleId="CommentTextChar">
    <w:name w:val="Comment Text Char"/>
    <w:basedOn w:val="DefaultParagraphFont"/>
    <w:link w:val="CommentText"/>
    <w:uiPriority w:val="99"/>
    <w:semiHidden/>
    <w:rsid w:val="001F1681"/>
    <w:rPr>
      <w:sz w:val="20"/>
      <w:szCs w:val="20"/>
    </w:rPr>
  </w:style>
  <w:style w:type="paragraph" w:styleId="CommentSubject">
    <w:name w:val="annotation subject"/>
    <w:basedOn w:val="CommentText"/>
    <w:next w:val="CommentText"/>
    <w:link w:val="CommentSubjectChar"/>
    <w:uiPriority w:val="99"/>
    <w:semiHidden/>
    <w:unhideWhenUsed/>
    <w:rsid w:val="001F1681"/>
    <w:rPr>
      <w:b/>
      <w:bCs/>
    </w:rPr>
  </w:style>
  <w:style w:type="character" w:customStyle="1" w:styleId="CommentSubjectChar">
    <w:name w:val="Comment Subject Char"/>
    <w:basedOn w:val="CommentTextChar"/>
    <w:link w:val="CommentSubject"/>
    <w:uiPriority w:val="99"/>
    <w:semiHidden/>
    <w:rsid w:val="001F1681"/>
    <w:rPr>
      <w:b/>
      <w:bCs/>
      <w:sz w:val="20"/>
      <w:szCs w:val="20"/>
    </w:rPr>
  </w:style>
  <w:style w:type="paragraph" w:styleId="Revision">
    <w:name w:val="Revision"/>
    <w:hidden/>
    <w:uiPriority w:val="99"/>
    <w:semiHidden/>
    <w:rsid w:val="001F1681"/>
    <w:pPr>
      <w:spacing w:after="0" w:line="240" w:lineRule="auto"/>
    </w:pPr>
  </w:style>
  <w:style w:type="paragraph" w:styleId="BalloonText">
    <w:name w:val="Balloon Text"/>
    <w:basedOn w:val="Normal"/>
    <w:link w:val="BalloonTextChar"/>
    <w:uiPriority w:val="99"/>
    <w:semiHidden/>
    <w:unhideWhenUsed/>
    <w:rsid w:val="001F16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1681"/>
    <w:rPr>
      <w:rFonts w:ascii="Tahoma" w:hAnsi="Tahoma" w:cs="Tahoma"/>
      <w:sz w:val="16"/>
      <w:szCs w:val="16"/>
    </w:rPr>
  </w:style>
  <w:style w:type="character" w:styleId="UnresolvedMention">
    <w:name w:val="Unresolved Mention"/>
    <w:basedOn w:val="DefaultParagraphFont"/>
    <w:uiPriority w:val="99"/>
    <w:semiHidden/>
    <w:unhideWhenUsed/>
    <w:rsid w:val="009313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448258">
      <w:bodyDiv w:val="1"/>
      <w:marLeft w:val="0"/>
      <w:marRight w:val="0"/>
      <w:marTop w:val="0"/>
      <w:marBottom w:val="0"/>
      <w:divBdr>
        <w:top w:val="none" w:sz="0" w:space="0" w:color="auto"/>
        <w:left w:val="none" w:sz="0" w:space="0" w:color="auto"/>
        <w:bottom w:val="none" w:sz="0" w:space="0" w:color="auto"/>
        <w:right w:val="none" w:sz="0" w:space="0" w:color="auto"/>
      </w:divBdr>
    </w:div>
    <w:div w:id="1077291421">
      <w:bodyDiv w:val="1"/>
      <w:marLeft w:val="0"/>
      <w:marRight w:val="0"/>
      <w:marTop w:val="0"/>
      <w:marBottom w:val="0"/>
      <w:divBdr>
        <w:top w:val="none" w:sz="0" w:space="0" w:color="auto"/>
        <w:left w:val="none" w:sz="0" w:space="0" w:color="auto"/>
        <w:bottom w:val="none" w:sz="0" w:space="0" w:color="auto"/>
        <w:right w:val="none" w:sz="0" w:space="0" w:color="auto"/>
      </w:divBdr>
      <w:divsChild>
        <w:div w:id="300578903">
          <w:marLeft w:val="0"/>
          <w:marRight w:val="0"/>
          <w:marTop w:val="0"/>
          <w:marBottom w:val="0"/>
          <w:divBdr>
            <w:top w:val="none" w:sz="0" w:space="0" w:color="auto"/>
            <w:left w:val="none" w:sz="0" w:space="0" w:color="auto"/>
            <w:bottom w:val="none" w:sz="0" w:space="0" w:color="auto"/>
            <w:right w:val="none" w:sz="0" w:space="0" w:color="auto"/>
          </w:divBdr>
          <w:divsChild>
            <w:div w:id="1786001696">
              <w:marLeft w:val="0"/>
              <w:marRight w:val="0"/>
              <w:marTop w:val="0"/>
              <w:marBottom w:val="0"/>
              <w:divBdr>
                <w:top w:val="none" w:sz="0" w:space="0" w:color="auto"/>
                <w:left w:val="none" w:sz="0" w:space="0" w:color="auto"/>
                <w:bottom w:val="none" w:sz="0" w:space="0" w:color="auto"/>
                <w:right w:val="none" w:sz="0" w:space="0" w:color="auto"/>
              </w:divBdr>
              <w:divsChild>
                <w:div w:id="2029284753">
                  <w:marLeft w:val="0"/>
                  <w:marRight w:val="0"/>
                  <w:marTop w:val="0"/>
                  <w:marBottom w:val="0"/>
                  <w:divBdr>
                    <w:top w:val="none" w:sz="0" w:space="0" w:color="auto"/>
                    <w:left w:val="none" w:sz="0" w:space="0" w:color="auto"/>
                    <w:bottom w:val="none" w:sz="0" w:space="0" w:color="auto"/>
                    <w:right w:val="none" w:sz="0" w:space="0" w:color="auto"/>
                  </w:divBdr>
                  <w:divsChild>
                    <w:div w:id="1377004011">
                      <w:marLeft w:val="675"/>
                      <w:marRight w:val="825"/>
                      <w:marTop w:val="195"/>
                      <w:marBottom w:val="150"/>
                      <w:divBdr>
                        <w:top w:val="none" w:sz="0" w:space="0" w:color="auto"/>
                        <w:left w:val="none" w:sz="0" w:space="0" w:color="auto"/>
                        <w:bottom w:val="none" w:sz="0" w:space="0" w:color="auto"/>
                        <w:right w:val="none" w:sz="0" w:space="0" w:color="auto"/>
                      </w:divBdr>
                    </w:div>
                  </w:divsChild>
                </w:div>
              </w:divsChild>
            </w:div>
          </w:divsChild>
        </w:div>
      </w:divsChild>
    </w:div>
    <w:div w:id="1102535824">
      <w:bodyDiv w:val="1"/>
      <w:marLeft w:val="0"/>
      <w:marRight w:val="0"/>
      <w:marTop w:val="0"/>
      <w:marBottom w:val="0"/>
      <w:divBdr>
        <w:top w:val="none" w:sz="0" w:space="0" w:color="auto"/>
        <w:left w:val="none" w:sz="0" w:space="0" w:color="auto"/>
        <w:bottom w:val="none" w:sz="0" w:space="0" w:color="auto"/>
        <w:right w:val="none" w:sz="0" w:space="0" w:color="auto"/>
      </w:divBdr>
    </w:div>
    <w:div w:id="1372415772">
      <w:bodyDiv w:val="1"/>
      <w:marLeft w:val="0"/>
      <w:marRight w:val="0"/>
      <w:marTop w:val="0"/>
      <w:marBottom w:val="0"/>
      <w:divBdr>
        <w:top w:val="none" w:sz="0" w:space="0" w:color="auto"/>
        <w:left w:val="none" w:sz="0" w:space="0" w:color="auto"/>
        <w:bottom w:val="none" w:sz="0" w:space="0" w:color="auto"/>
        <w:right w:val="none" w:sz="0" w:space="0" w:color="auto"/>
      </w:divBdr>
    </w:div>
    <w:div w:id="1438597084">
      <w:bodyDiv w:val="1"/>
      <w:marLeft w:val="0"/>
      <w:marRight w:val="0"/>
      <w:marTop w:val="0"/>
      <w:marBottom w:val="0"/>
      <w:divBdr>
        <w:top w:val="none" w:sz="0" w:space="0" w:color="auto"/>
        <w:left w:val="none" w:sz="0" w:space="0" w:color="auto"/>
        <w:bottom w:val="none" w:sz="0" w:space="0" w:color="auto"/>
        <w:right w:val="none" w:sz="0" w:space="0" w:color="auto"/>
      </w:divBdr>
    </w:div>
    <w:div w:id="1554344334">
      <w:bodyDiv w:val="1"/>
      <w:marLeft w:val="0"/>
      <w:marRight w:val="0"/>
      <w:marTop w:val="0"/>
      <w:marBottom w:val="0"/>
      <w:divBdr>
        <w:top w:val="none" w:sz="0" w:space="0" w:color="auto"/>
        <w:left w:val="none" w:sz="0" w:space="0" w:color="auto"/>
        <w:bottom w:val="none" w:sz="0" w:space="0" w:color="auto"/>
        <w:right w:val="none" w:sz="0" w:space="0" w:color="auto"/>
      </w:divBdr>
      <w:divsChild>
        <w:div w:id="1712604941">
          <w:marLeft w:val="0"/>
          <w:marRight w:val="0"/>
          <w:marTop w:val="0"/>
          <w:marBottom w:val="0"/>
          <w:divBdr>
            <w:top w:val="none" w:sz="0" w:space="0" w:color="auto"/>
            <w:left w:val="none" w:sz="0" w:space="0" w:color="auto"/>
            <w:bottom w:val="none" w:sz="0" w:space="0" w:color="auto"/>
            <w:right w:val="none" w:sz="0" w:space="0" w:color="auto"/>
          </w:divBdr>
          <w:divsChild>
            <w:div w:id="467363543">
              <w:marLeft w:val="0"/>
              <w:marRight w:val="0"/>
              <w:marTop w:val="0"/>
              <w:marBottom w:val="0"/>
              <w:divBdr>
                <w:top w:val="none" w:sz="0" w:space="0" w:color="auto"/>
                <w:left w:val="none" w:sz="0" w:space="0" w:color="auto"/>
                <w:bottom w:val="none" w:sz="0" w:space="0" w:color="auto"/>
                <w:right w:val="none" w:sz="0" w:space="0" w:color="auto"/>
              </w:divBdr>
              <w:divsChild>
                <w:div w:id="1213494841">
                  <w:marLeft w:val="0"/>
                  <w:marRight w:val="200"/>
                  <w:marTop w:val="0"/>
                  <w:marBottom w:val="0"/>
                  <w:divBdr>
                    <w:top w:val="none" w:sz="0" w:space="0" w:color="auto"/>
                    <w:left w:val="none" w:sz="0" w:space="0" w:color="auto"/>
                    <w:bottom w:val="none" w:sz="0" w:space="0" w:color="auto"/>
                    <w:right w:val="none" w:sz="0" w:space="0" w:color="auto"/>
                  </w:divBdr>
                  <w:divsChild>
                    <w:div w:id="212694213">
                      <w:marLeft w:val="0"/>
                      <w:marRight w:val="0"/>
                      <w:marTop w:val="0"/>
                      <w:marBottom w:val="375"/>
                      <w:divBdr>
                        <w:top w:val="none" w:sz="0" w:space="0" w:color="auto"/>
                        <w:left w:val="none" w:sz="0" w:space="0" w:color="auto"/>
                        <w:bottom w:val="none" w:sz="0" w:space="0" w:color="auto"/>
                        <w:right w:val="none" w:sz="0" w:space="0" w:color="auto"/>
                      </w:divBdr>
                      <w:divsChild>
                        <w:div w:id="106294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891607">
      <w:bodyDiv w:val="1"/>
      <w:marLeft w:val="0"/>
      <w:marRight w:val="0"/>
      <w:marTop w:val="0"/>
      <w:marBottom w:val="0"/>
      <w:divBdr>
        <w:top w:val="none" w:sz="0" w:space="0" w:color="auto"/>
        <w:left w:val="none" w:sz="0" w:space="0" w:color="auto"/>
        <w:bottom w:val="none" w:sz="0" w:space="0" w:color="auto"/>
        <w:right w:val="none" w:sz="0" w:space="0" w:color="auto"/>
      </w:divBdr>
    </w:div>
    <w:div w:id="1870022668">
      <w:bodyDiv w:val="1"/>
      <w:marLeft w:val="0"/>
      <w:marRight w:val="0"/>
      <w:marTop w:val="0"/>
      <w:marBottom w:val="0"/>
      <w:divBdr>
        <w:top w:val="none" w:sz="0" w:space="0" w:color="auto"/>
        <w:left w:val="none" w:sz="0" w:space="0" w:color="auto"/>
        <w:bottom w:val="none" w:sz="0" w:space="0" w:color="auto"/>
        <w:right w:val="none" w:sz="0" w:space="0" w:color="auto"/>
      </w:divBdr>
    </w:div>
    <w:div w:id="1968775590">
      <w:bodyDiv w:val="1"/>
      <w:marLeft w:val="0"/>
      <w:marRight w:val="0"/>
      <w:marTop w:val="0"/>
      <w:marBottom w:val="0"/>
      <w:divBdr>
        <w:top w:val="none" w:sz="0" w:space="0" w:color="auto"/>
        <w:left w:val="none" w:sz="0" w:space="0" w:color="auto"/>
        <w:bottom w:val="none" w:sz="0" w:space="0" w:color="auto"/>
        <w:right w:val="none" w:sz="0" w:space="0" w:color="auto"/>
      </w:divBdr>
    </w:div>
    <w:div w:id="203391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asb.org/page/PageContent?pageId=/reference-library/exposure-documents-public-comment-documents-archive.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bd46520-c392-41b5-9f68-fe7486eefad7">
      <Terms xmlns="http://schemas.microsoft.com/office/infopath/2007/PartnerControls"/>
    </lcf76f155ced4ddcb4097134ff3c332f>
    <TaxCatchAll xmlns="3c9e15a3-223f-4584-afb1-1dbe0b3878f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6CFCA-5FBE-4928-A7C5-11AB21A4D876}">
  <ds:schemaRefs>
    <ds:schemaRef ds:uri="http://schemas.microsoft.com/office/2006/metadata/properties"/>
    <ds:schemaRef ds:uri="http://schemas.microsoft.com/office/infopath/2007/PartnerControls"/>
    <ds:schemaRef ds:uri="dbd46520-c392-41b5-9f68-fe7486eefad7"/>
    <ds:schemaRef ds:uri="3c9e15a3-223f-4584-afb1-1dbe0b3878fa"/>
  </ds:schemaRefs>
</ds:datastoreItem>
</file>

<file path=customXml/itemProps2.xml><?xml version="1.0" encoding="utf-8"?>
<ds:datastoreItem xmlns:ds="http://schemas.openxmlformats.org/officeDocument/2006/customXml" ds:itemID="{BCC65086-EFB5-49C5-A473-0F8E784C5F61}">
  <ds:schemaRefs>
    <ds:schemaRef ds:uri="http://schemas.microsoft.com/sharepoint/v3/contenttype/forms"/>
  </ds:schemaRefs>
</ds:datastoreItem>
</file>

<file path=customXml/itemProps3.xml><?xml version="1.0" encoding="utf-8"?>
<ds:datastoreItem xmlns:ds="http://schemas.openxmlformats.org/officeDocument/2006/customXml" ds:itemID="{1244613D-5EBD-4E4F-AFCD-4AB71F4F66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414E98-94AB-49CB-8525-E12FD4A85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4</Pages>
  <Words>1700</Words>
  <Characters>9690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NAIC</Company>
  <LinksUpToDate>false</LinksUpToDate>
  <CharactersWithSpaces>11368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Gann</dc:creator>
  <cp:lastModifiedBy>Marcotte, Robin</cp:lastModifiedBy>
  <cp:revision>104</cp:revision>
  <cp:lastPrinted>2022-03-04T17:32:00Z</cp:lastPrinted>
  <dcterms:created xsi:type="dcterms:W3CDTF">2022-03-04T17:33:00Z</dcterms:created>
  <dcterms:modified xsi:type="dcterms:W3CDTF">2022-11-30T17:38:00Z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0x010100DD0FEDF019004E4AB00FDE98BFC1B847</vt:lpwstr>
  </property>
  <property fmtid="{D5CDD505-2E9C-101B-9397-08002B2CF9AE}" pid="4" name="MediaServiceImageTags">
    <vt:lpwstr/>
  </property>
</Properties>
</file>